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BB70B" w14:textId="77777777" w:rsidR="00A76DEF" w:rsidRDefault="007579C3">
      <w:pPr>
        <w:pStyle w:val="Heading3"/>
        <w:jc w:val="both"/>
        <w:rPr>
          <w:rFonts w:ascii="Segoe UI" w:eastAsia="Segoe UI" w:hAnsi="Segoe UI" w:cs="Segoe UI"/>
          <w:color w:val="24292E"/>
          <w:sz w:val="28"/>
          <w:szCs w:val="28"/>
          <w:shd w:val="clear" w:color="auto" w:fill="F7F7F7"/>
        </w:rPr>
      </w:pPr>
      <w:bookmarkStart w:id="0" w:name="abstract"/>
      <w:r>
        <w:rPr>
          <w:rFonts w:ascii="Segoe UI" w:eastAsia="Segoe UI" w:hAnsi="Segoe UI" w:cs="Segoe UI"/>
          <w:color w:val="24292E"/>
          <w:sz w:val="28"/>
          <w:szCs w:val="28"/>
          <w:shd w:val="clear" w:color="auto" w:fill="F7F7F7"/>
        </w:rPr>
        <w:t>From Historical and Cultural Heritage to Cultural and Tourism Integration: Practice and Reflection on the Reform of the Curriculum System for Drama Performance Majors in Higher Education Institutions</w:t>
      </w:r>
    </w:p>
    <w:p w14:paraId="249BF7A6" w14:textId="77777777" w:rsidR="00A76DEF" w:rsidRDefault="00A76DEF" w:rsidP="00A76DEF">
      <w:pPr>
        <w:shd w:val="clear" w:color="auto" w:fill="FFFFFF"/>
        <w:rPr>
          <w:rFonts w:ascii="Times New Roman" w:eastAsia="Microsoft YaHei" w:hAnsi="Times New Roman" w:cs="Times New Roman"/>
          <w:b/>
          <w:bCs/>
          <w:color w:val="2E3033"/>
          <w:shd w:val="clear" w:color="auto" w:fill="FFFFFF"/>
          <w:lang w:eastAsia="zh-CN" w:bidi="ar"/>
        </w:rPr>
      </w:pPr>
    </w:p>
    <w:p w14:paraId="0364A558" w14:textId="78AB7A28" w:rsidR="00A76DEF" w:rsidRDefault="00A76DEF" w:rsidP="00A76DEF">
      <w:pPr>
        <w:shd w:val="clear" w:color="auto" w:fill="FFFFFF"/>
        <w:rPr>
          <w:rFonts w:ascii="Times New Roman" w:eastAsia="Microsoft YaHei" w:hAnsi="Times New Roman" w:cs="Times New Roman"/>
          <w:b/>
          <w:bCs/>
          <w:color w:val="2E3033"/>
          <w:shd w:val="clear" w:color="auto" w:fill="FFFFFF"/>
          <w:lang w:eastAsia="zh-CN" w:bidi="ar"/>
        </w:rPr>
      </w:pPr>
      <w:r>
        <w:rPr>
          <w:rFonts w:ascii="Times New Roman" w:eastAsia="Microsoft YaHei" w:hAnsi="Times New Roman" w:cs="Times New Roman"/>
          <w:b/>
          <w:bCs/>
          <w:color w:val="2E3033"/>
          <w:shd w:val="clear" w:color="auto" w:fill="FFFFFF"/>
          <w:lang w:eastAsia="zh-CN" w:bidi="ar"/>
        </w:rPr>
        <w:t>Author</w:t>
      </w:r>
      <w:r>
        <w:rPr>
          <w:rFonts w:ascii="Times New Roman" w:eastAsia="Microsoft YaHei" w:hAnsi="Times New Roman" w:cs="Times New Roman" w:hint="eastAsia"/>
          <w:b/>
          <w:bCs/>
          <w:color w:val="2E3033"/>
          <w:shd w:val="clear" w:color="auto" w:fill="FFFFFF"/>
          <w:lang w:eastAsia="zh-CN" w:bidi="ar"/>
        </w:rPr>
        <w:t>s</w:t>
      </w:r>
      <w:r>
        <w:rPr>
          <w:rFonts w:ascii="Times New Roman" w:eastAsia="Microsoft YaHei" w:hAnsi="Times New Roman" w:cs="Times New Roman"/>
          <w:b/>
          <w:bCs/>
          <w:color w:val="2E3033"/>
          <w:shd w:val="clear" w:color="auto" w:fill="FFFFFF"/>
          <w:lang w:eastAsia="zh-CN" w:bidi="ar"/>
        </w:rPr>
        <w:t>：</w:t>
      </w:r>
      <w:r>
        <w:rPr>
          <w:rFonts w:ascii="Times New Roman" w:hAnsi="Times New Roman" w:hint="eastAsia"/>
          <w:lang w:eastAsia="zh-CN"/>
        </w:rPr>
        <w:t>Yang Chen</w:t>
      </w:r>
      <w:r>
        <w:rPr>
          <w:rFonts w:ascii="Times New Roman" w:hAnsi="Times New Roman" w:cs="Times New Roman"/>
          <w:vertAlign w:val="superscript"/>
          <w:lang w:eastAsia="zh-CN"/>
        </w:rPr>
        <w:t>1</w:t>
      </w:r>
    </w:p>
    <w:p w14:paraId="4727C336" w14:textId="4973C077" w:rsidR="00A76DEF" w:rsidRDefault="00A76DEF" w:rsidP="00A76DEF">
      <w:pPr>
        <w:rPr>
          <w:rFonts w:ascii="Times New Roman" w:eastAsia="Microsoft YaHei" w:hAnsi="Times New Roman" w:cs="Times New Roman" w:hint="eastAsia"/>
          <w:b/>
          <w:bCs/>
          <w:color w:val="2E3033"/>
          <w:highlight w:val="yellow"/>
          <w:shd w:val="clear" w:color="auto" w:fill="FFFFFF"/>
          <w:lang w:eastAsia="zh-CN" w:bidi="ar"/>
        </w:rPr>
      </w:pPr>
      <w:r>
        <w:rPr>
          <w:rFonts w:ascii="Times New Roman" w:eastAsia="Microsoft YaHei" w:hAnsi="Times New Roman" w:cs="Times New Roman"/>
          <w:b/>
          <w:bCs/>
          <w:color w:val="2E3033"/>
          <w:shd w:val="clear" w:color="auto" w:fill="FFFFFF"/>
          <w:lang w:eastAsia="zh-CN" w:bidi="ar"/>
        </w:rPr>
        <w:t>Affiliation</w:t>
      </w:r>
      <w:r>
        <w:rPr>
          <w:rFonts w:ascii="Times New Roman" w:eastAsia="Microsoft YaHei" w:hAnsi="Times New Roman" w:cs="Times New Roman" w:hint="eastAsia"/>
          <w:b/>
          <w:bCs/>
          <w:color w:val="2E3033"/>
          <w:shd w:val="clear" w:color="auto" w:fill="FFFFFF"/>
          <w:lang w:eastAsia="zh-CN" w:bidi="ar"/>
        </w:rPr>
        <w:t>s</w:t>
      </w:r>
      <w:r>
        <w:rPr>
          <w:rFonts w:ascii="Times New Roman" w:eastAsia="Microsoft YaHei" w:hAnsi="Times New Roman" w:cs="Times New Roman"/>
          <w:b/>
          <w:bCs/>
          <w:color w:val="2E3033"/>
          <w:shd w:val="clear" w:color="auto" w:fill="FFFFFF"/>
          <w:lang w:eastAsia="zh-CN" w:bidi="ar"/>
        </w:rPr>
        <w:t>：</w:t>
      </w:r>
      <w:r>
        <w:rPr>
          <w:rFonts w:ascii="Times New Roman" w:eastAsia="Microsoft YaHei" w:hAnsi="Times New Roman" w:cs="Times New Roman" w:hint="eastAsia"/>
          <w:b/>
          <w:bCs/>
          <w:color w:val="2E3033"/>
          <w:highlight w:val="yellow"/>
          <w:shd w:val="clear" w:color="auto" w:fill="FFFFFF"/>
          <w:lang w:eastAsia="zh-CN" w:bidi="ar"/>
        </w:rPr>
        <w:t>副教授</w:t>
      </w:r>
      <w:r>
        <w:rPr>
          <w:rFonts w:ascii="Times New Roman" w:eastAsia="Microsoft YaHei" w:hAnsi="Times New Roman" w:cs="Times New Roman" w:hint="eastAsia"/>
          <w:b/>
          <w:bCs/>
          <w:color w:val="2E3033"/>
          <w:highlight w:val="yellow"/>
          <w:shd w:val="clear" w:color="auto" w:fill="FFFFFF"/>
          <w:lang w:eastAsia="zh-CN" w:bidi="ar"/>
        </w:rPr>
        <w:t>+</w:t>
      </w:r>
      <w:r>
        <w:rPr>
          <w:rFonts w:ascii="Times New Roman" w:eastAsia="Microsoft YaHei" w:hAnsi="Times New Roman" w:cs="Times New Roman" w:hint="eastAsia"/>
          <w:b/>
          <w:bCs/>
          <w:color w:val="2E3033"/>
          <w:highlight w:val="yellow"/>
          <w:shd w:val="clear" w:color="auto" w:fill="FFFFFF"/>
          <w:lang w:eastAsia="zh-CN" w:bidi="ar"/>
        </w:rPr>
        <w:t>人文艺术学院</w:t>
      </w:r>
      <w:r>
        <w:rPr>
          <w:rFonts w:ascii="Times New Roman" w:eastAsia="Microsoft YaHei" w:hAnsi="Times New Roman" w:cs="Times New Roman" w:hint="eastAsia"/>
          <w:b/>
          <w:bCs/>
          <w:color w:val="2E3033"/>
          <w:highlight w:val="yellow"/>
          <w:shd w:val="clear" w:color="auto" w:fill="FFFFFF"/>
          <w:lang w:eastAsia="zh-CN" w:bidi="ar"/>
        </w:rPr>
        <w:t>+</w:t>
      </w:r>
      <w:r>
        <w:rPr>
          <w:rFonts w:ascii="Times New Roman" w:eastAsia="Microsoft YaHei" w:hAnsi="Times New Roman" w:cs="Times New Roman" w:hint="eastAsia"/>
          <w:b/>
          <w:bCs/>
          <w:color w:val="2E3033"/>
          <w:highlight w:val="yellow"/>
          <w:shd w:val="clear" w:color="auto" w:fill="FFFFFF"/>
          <w:lang w:eastAsia="zh-CN" w:bidi="ar"/>
        </w:rPr>
        <w:t>西安外事学院</w:t>
      </w:r>
      <w:r>
        <w:rPr>
          <w:rFonts w:ascii="Times New Roman" w:eastAsia="Microsoft YaHei" w:hAnsi="Times New Roman" w:cs="Times New Roman" w:hint="eastAsia"/>
          <w:b/>
          <w:bCs/>
          <w:color w:val="2E3033"/>
          <w:highlight w:val="yellow"/>
          <w:shd w:val="clear" w:color="auto" w:fill="FFFFFF"/>
          <w:lang w:eastAsia="zh-CN" w:bidi="ar"/>
        </w:rPr>
        <w:t>+</w:t>
      </w:r>
      <w:r>
        <w:rPr>
          <w:rFonts w:ascii="Times New Roman" w:eastAsia="Microsoft YaHei" w:hAnsi="Times New Roman" w:cs="Times New Roman" w:hint="eastAsia"/>
          <w:b/>
          <w:bCs/>
          <w:color w:val="2E3033"/>
          <w:highlight w:val="yellow"/>
          <w:shd w:val="clear" w:color="auto" w:fill="FFFFFF"/>
          <w:lang w:eastAsia="zh-CN" w:bidi="ar"/>
        </w:rPr>
        <w:t>西安</w:t>
      </w:r>
      <w:r>
        <w:rPr>
          <w:rFonts w:ascii="Times New Roman" w:eastAsia="Microsoft YaHei" w:hAnsi="Times New Roman" w:cs="Times New Roman" w:hint="eastAsia"/>
          <w:b/>
          <w:bCs/>
          <w:color w:val="2E3033"/>
          <w:highlight w:val="yellow"/>
          <w:shd w:val="clear" w:color="auto" w:fill="FFFFFF"/>
          <w:lang w:eastAsia="zh-CN" w:bidi="ar"/>
        </w:rPr>
        <w:t>+</w:t>
      </w:r>
      <w:r>
        <w:rPr>
          <w:rFonts w:ascii="Times New Roman" w:eastAsia="Microsoft YaHei" w:hAnsi="Times New Roman" w:cs="Times New Roman" w:hint="eastAsia"/>
          <w:b/>
          <w:bCs/>
          <w:color w:val="2E3033"/>
          <w:highlight w:val="yellow"/>
          <w:shd w:val="clear" w:color="auto" w:fill="FFFFFF"/>
          <w:lang w:eastAsia="zh-CN" w:bidi="ar"/>
        </w:rPr>
        <w:t>中国</w:t>
      </w:r>
    </w:p>
    <w:p w14:paraId="5B78C8D4" w14:textId="77777777" w:rsidR="00A76DEF" w:rsidRDefault="00A76DEF" w:rsidP="00A76DEF">
      <w:pPr>
        <w:rPr>
          <w:rFonts w:ascii="Times New Roman" w:eastAsia="SimSun" w:hAnsi="Times New Roman" w:cs="Times New Roman"/>
          <w:highlight w:val="yellow"/>
        </w:rPr>
      </w:pPr>
      <w:r>
        <w:rPr>
          <w:rFonts w:ascii="Segoe UI" w:eastAsia="Segoe UI" w:hAnsi="Segoe UI" w:cs="Segoe UI"/>
          <w:highlight w:val="yellow"/>
          <w:shd w:val="clear" w:color="auto" w:fill="FFFFFF"/>
        </w:rPr>
        <w:t xml:space="preserve">Associate </w:t>
      </w:r>
      <w:proofErr w:type="spellStart"/>
      <w:r>
        <w:rPr>
          <w:rFonts w:ascii="Segoe UI" w:eastAsia="Segoe UI" w:hAnsi="Segoe UI" w:cs="Segoe UI"/>
          <w:highlight w:val="yellow"/>
          <w:shd w:val="clear" w:color="auto" w:fill="FFFFFF"/>
        </w:rPr>
        <w:t>Professor</w:t>
      </w:r>
      <w:r>
        <w:rPr>
          <w:rFonts w:ascii="Segoe UI" w:hAnsi="Segoe UI" w:cs="Segoe UI" w:hint="eastAsia"/>
          <w:highlight w:val="yellow"/>
          <w:shd w:val="clear" w:color="auto" w:fill="FFFFFF"/>
          <w:lang w:eastAsia="zh-CN"/>
        </w:rPr>
        <w:t>+</w:t>
      </w:r>
      <w:r>
        <w:rPr>
          <w:rFonts w:ascii="Times New Roman" w:eastAsia="SimSun" w:hAnsi="Times New Roman" w:cs="Times New Roman"/>
          <w:highlight w:val="yellow"/>
          <w:lang w:eastAsia="zh-CN"/>
        </w:rPr>
        <w:t>School</w:t>
      </w:r>
      <w:proofErr w:type="spellEnd"/>
      <w:r>
        <w:rPr>
          <w:rFonts w:ascii="Times New Roman" w:eastAsia="SimSun" w:hAnsi="Times New Roman" w:cs="Times New Roman"/>
          <w:highlight w:val="yellow"/>
          <w:lang w:eastAsia="zh-CN"/>
        </w:rPr>
        <w:t xml:space="preserve"> of Humanities and </w:t>
      </w:r>
      <w:proofErr w:type="spellStart"/>
      <w:r>
        <w:rPr>
          <w:rFonts w:ascii="Times New Roman" w:eastAsia="SimSun" w:hAnsi="Times New Roman" w:cs="Times New Roman"/>
          <w:highlight w:val="yellow"/>
          <w:lang w:eastAsia="zh-CN"/>
        </w:rPr>
        <w:t>Arts</w:t>
      </w:r>
      <w:r>
        <w:rPr>
          <w:rFonts w:ascii="Times New Roman" w:hAnsi="Times New Roman" w:cs="Times New Roman" w:hint="eastAsia"/>
          <w:highlight w:val="yellow"/>
          <w:lang w:eastAsia="zh-CN"/>
        </w:rPr>
        <w:t>+</w:t>
      </w:r>
      <w:r>
        <w:rPr>
          <w:rFonts w:ascii="Times New Roman" w:eastAsia="SimSun" w:hAnsi="Times New Roman" w:cs="Times New Roman"/>
          <w:highlight w:val="yellow"/>
          <w:lang w:eastAsia="zh-CN"/>
        </w:rPr>
        <w:t>Xi'an</w:t>
      </w:r>
      <w:proofErr w:type="spellEnd"/>
      <w:r>
        <w:rPr>
          <w:rFonts w:ascii="Times New Roman" w:eastAsia="SimSun" w:hAnsi="Times New Roman" w:cs="Times New Roman"/>
          <w:highlight w:val="yellow"/>
          <w:lang w:eastAsia="zh-CN"/>
        </w:rPr>
        <w:t xml:space="preserve"> International </w:t>
      </w:r>
      <w:proofErr w:type="spellStart"/>
      <w:r>
        <w:rPr>
          <w:rFonts w:ascii="Times New Roman" w:eastAsia="SimSun" w:hAnsi="Times New Roman" w:cs="Times New Roman"/>
          <w:highlight w:val="yellow"/>
          <w:lang w:eastAsia="zh-CN"/>
        </w:rPr>
        <w:t>University,</w:t>
      </w:r>
      <w:r>
        <w:rPr>
          <w:rFonts w:ascii="Times New Roman" w:hAnsi="Times New Roman" w:cs="Times New Roman" w:hint="eastAsia"/>
          <w:highlight w:val="yellow"/>
          <w:lang w:eastAsia="zh-CN"/>
        </w:rPr>
        <w:t>+</w:t>
      </w:r>
      <w:r>
        <w:rPr>
          <w:rFonts w:ascii="Times New Roman" w:eastAsia="SimSun" w:hAnsi="Times New Roman" w:cs="Times New Roman"/>
          <w:highlight w:val="yellow"/>
          <w:lang w:eastAsia="zh-CN"/>
        </w:rPr>
        <w:t>Xi'an</w:t>
      </w:r>
      <w:proofErr w:type="spellEnd"/>
      <w:r>
        <w:rPr>
          <w:rFonts w:ascii="Times New Roman" w:eastAsia="SimSun" w:hAnsi="Times New Roman" w:cs="Times New Roman"/>
          <w:highlight w:val="yellow"/>
          <w:lang w:eastAsia="zh-CN"/>
        </w:rPr>
        <w:t xml:space="preserve">, </w:t>
      </w:r>
      <w:r>
        <w:rPr>
          <w:rFonts w:ascii="Times New Roman" w:hAnsi="Times New Roman" w:cs="Times New Roman" w:hint="eastAsia"/>
          <w:highlight w:val="yellow"/>
          <w:lang w:eastAsia="zh-CN"/>
        </w:rPr>
        <w:t>+</w:t>
      </w:r>
      <w:r>
        <w:rPr>
          <w:rFonts w:ascii="Times New Roman" w:eastAsia="SimSun" w:hAnsi="Times New Roman" w:cs="Times New Roman"/>
          <w:highlight w:val="yellow"/>
          <w:lang w:eastAsia="zh-CN"/>
        </w:rPr>
        <w:t>China</w:t>
      </w:r>
    </w:p>
    <w:p w14:paraId="43BD6187" w14:textId="77777777" w:rsidR="00A76DEF" w:rsidRDefault="00A76DEF" w:rsidP="00A76DEF">
      <w:pPr>
        <w:rPr>
          <w:rFonts w:ascii="Times New Roman" w:eastAsia="Microsoft YaHei" w:hAnsi="Times New Roman" w:cs="Times New Roman"/>
          <w:b/>
          <w:bCs/>
          <w:color w:val="2E3033"/>
          <w:shd w:val="clear" w:color="auto" w:fill="FFFFFF"/>
          <w:lang w:eastAsia="zh-CN" w:bidi="ar"/>
        </w:rPr>
      </w:pPr>
    </w:p>
    <w:p w14:paraId="53536331" w14:textId="77777777" w:rsidR="00A76DEF" w:rsidRDefault="00A76DEF" w:rsidP="00A76DEF">
      <w:pPr>
        <w:shd w:val="clear" w:color="auto" w:fill="FFFFFF"/>
        <w:rPr>
          <w:rFonts w:ascii="Times New Roman" w:eastAsia="SimSun" w:hAnsi="Times New Roman" w:cs="Times New Roman" w:hint="eastAsia"/>
          <w:lang w:eastAsia="zh-CN"/>
        </w:rPr>
      </w:pPr>
      <w:r>
        <w:rPr>
          <w:rFonts w:ascii="Times New Roman" w:eastAsia="SimSun" w:hAnsi="Times New Roman" w:cs="Times New Roman" w:hint="eastAsia"/>
          <w:vertAlign w:val="superscript"/>
          <w:lang w:eastAsia="zh-CN"/>
        </w:rPr>
        <w:t>1*</w:t>
      </w:r>
      <w:r>
        <w:rPr>
          <w:rFonts w:ascii="Times New Roman" w:eastAsia="SimSun" w:hAnsi="Times New Roman" w:cs="Times New Roman" w:hint="eastAsia"/>
          <w:lang w:eastAsia="zh-CN"/>
        </w:rPr>
        <w:t>头衔（</w:t>
      </w:r>
      <w:r>
        <w:rPr>
          <w:rFonts w:ascii="Times New Roman" w:eastAsia="SimSun" w:hAnsi="Times New Roman" w:cs="Times New Roman" w:hint="eastAsia"/>
          <w:lang w:eastAsia="zh-CN"/>
        </w:rPr>
        <w:t>Master/Dr/Assistant Professor/ Professor/PHD candidate/PHD student/</w:t>
      </w:r>
      <w:r>
        <w:rPr>
          <w:rFonts w:ascii="Times New Roman" w:eastAsia="SimSun" w:hAnsi="Times New Roman" w:cs="Times New Roman" w:hint="eastAsia"/>
        </w:rPr>
        <w:t>Lect</w:t>
      </w:r>
      <w:r>
        <w:rPr>
          <w:rFonts w:ascii="Times New Roman" w:eastAsia="SimSun" w:hAnsi="Times New Roman" w:cs="Times New Roman" w:hint="eastAsia"/>
          <w:lang w:eastAsia="zh-CN"/>
        </w:rPr>
        <w:t>urer</w:t>
      </w:r>
      <w:r>
        <w:rPr>
          <w:rFonts w:ascii="Times New Roman" w:eastAsia="SimSun" w:hAnsi="Times New Roman" w:cs="Times New Roman" w:hint="eastAsia"/>
          <w:lang w:eastAsia="zh-CN"/>
        </w:rPr>
        <w:t>等）</w:t>
      </w:r>
      <w:r>
        <w:rPr>
          <w:rFonts w:ascii="Times New Roman" w:eastAsia="SimSun" w:hAnsi="Times New Roman" w:cs="Times New Roman" w:hint="eastAsia"/>
          <w:lang w:eastAsia="zh-CN"/>
        </w:rPr>
        <w:t>+</w:t>
      </w:r>
      <w:r>
        <w:rPr>
          <w:rFonts w:ascii="Times New Roman" w:eastAsia="SimSun" w:hAnsi="Times New Roman" w:cs="Times New Roman" w:hint="eastAsia"/>
          <w:lang w:eastAsia="zh-CN"/>
        </w:rPr>
        <w:t>部门</w:t>
      </w:r>
      <w:r>
        <w:rPr>
          <w:rFonts w:ascii="Times New Roman" w:eastAsia="SimSun" w:hAnsi="Times New Roman" w:cs="Times New Roman" w:hint="eastAsia"/>
          <w:lang w:eastAsia="zh-CN"/>
        </w:rPr>
        <w:t>+</w:t>
      </w:r>
      <w:r>
        <w:rPr>
          <w:rFonts w:ascii="Times New Roman" w:eastAsia="SimSun" w:hAnsi="Times New Roman" w:cs="Times New Roman" w:hint="eastAsia"/>
          <w:lang w:eastAsia="zh-CN"/>
        </w:rPr>
        <w:t>机构</w:t>
      </w:r>
      <w:r>
        <w:rPr>
          <w:rFonts w:ascii="Times New Roman" w:eastAsia="SimSun" w:hAnsi="Times New Roman" w:cs="Times New Roman" w:hint="eastAsia"/>
          <w:lang w:eastAsia="zh-CN"/>
        </w:rPr>
        <w:t>+</w:t>
      </w:r>
      <w:r>
        <w:rPr>
          <w:rFonts w:ascii="Times New Roman" w:eastAsia="SimSun" w:hAnsi="Times New Roman" w:cs="Times New Roman" w:hint="eastAsia"/>
          <w:lang w:eastAsia="zh-CN"/>
        </w:rPr>
        <w:t>城市</w:t>
      </w:r>
      <w:r>
        <w:rPr>
          <w:rFonts w:ascii="Times New Roman" w:eastAsia="SimSun" w:hAnsi="Times New Roman" w:cs="Times New Roman" w:hint="eastAsia"/>
          <w:lang w:eastAsia="zh-CN"/>
        </w:rPr>
        <w:t>+</w:t>
      </w:r>
      <w:r>
        <w:rPr>
          <w:rFonts w:ascii="Times New Roman" w:eastAsia="SimSun" w:hAnsi="Times New Roman" w:cs="Times New Roman" w:hint="eastAsia"/>
          <w:lang w:eastAsia="zh-CN"/>
        </w:rPr>
        <w:t>国家）</w:t>
      </w:r>
      <w:r>
        <w:rPr>
          <w:rFonts w:ascii="Times New Roman" w:hAnsi="Times New Roman" w:cs="Times New Roman" w:hint="eastAsia"/>
          <w:highlight w:val="green"/>
          <w:lang w:eastAsia="zh-CN"/>
        </w:rPr>
        <w:t>（示例）</w:t>
      </w:r>
    </w:p>
    <w:p w14:paraId="41111EE6" w14:textId="77777777" w:rsidR="00A76DEF" w:rsidRDefault="00A76DEF" w:rsidP="00A76DEF">
      <w:pPr>
        <w:shd w:val="clear" w:color="auto" w:fill="FFFFFF"/>
        <w:rPr>
          <w:rFonts w:ascii="Times New Roman" w:eastAsia="SimSun" w:hAnsi="Times New Roman" w:cs="Times New Roman" w:hint="eastAsia"/>
          <w:vertAlign w:val="superscript"/>
          <w:lang w:eastAsia="zh-CN"/>
        </w:rPr>
      </w:pPr>
    </w:p>
    <w:p w14:paraId="48DB3E10" w14:textId="77777777" w:rsidR="00A76DEF" w:rsidRDefault="00A76DEF" w:rsidP="00A76DEF">
      <w:pPr>
        <w:shd w:val="clear" w:color="auto" w:fill="FFFFFF"/>
        <w:rPr>
          <w:rFonts w:ascii="Times New Roman" w:eastAsia="SimSun" w:hAnsi="Times New Roman" w:cs="Times New Roman" w:hint="eastAsia"/>
          <w:lang w:eastAsia="zh-CN"/>
        </w:rPr>
      </w:pPr>
      <w:r>
        <w:rPr>
          <w:rFonts w:ascii="Times New Roman" w:eastAsia="SimSun" w:hAnsi="Times New Roman" w:cs="Times New Roman" w:hint="eastAsia"/>
          <w:vertAlign w:val="superscript"/>
          <w:lang w:eastAsia="zh-CN"/>
        </w:rPr>
        <w:t>2</w:t>
      </w:r>
      <w:r>
        <w:rPr>
          <w:rFonts w:ascii="Times New Roman" w:eastAsia="SimSun" w:hAnsi="Times New Roman" w:cs="Times New Roman" w:hint="eastAsia"/>
          <w:lang w:eastAsia="zh-CN"/>
        </w:rPr>
        <w:t>头衔（</w:t>
      </w:r>
      <w:r>
        <w:rPr>
          <w:rFonts w:ascii="Times New Roman" w:eastAsia="SimSun" w:hAnsi="Times New Roman" w:cs="Times New Roman" w:hint="eastAsia"/>
          <w:lang w:eastAsia="zh-CN"/>
        </w:rPr>
        <w:t>Master/Dr/Assistant Professor/ Professor/PHD candidate/PHD student/</w:t>
      </w:r>
      <w:r>
        <w:rPr>
          <w:rFonts w:ascii="Times New Roman" w:eastAsia="SimSun" w:hAnsi="Times New Roman" w:cs="Times New Roman" w:hint="eastAsia"/>
        </w:rPr>
        <w:t>Lect</w:t>
      </w:r>
      <w:r>
        <w:rPr>
          <w:rFonts w:ascii="Times New Roman" w:eastAsia="SimSun" w:hAnsi="Times New Roman" w:cs="Times New Roman" w:hint="eastAsia"/>
          <w:lang w:eastAsia="zh-CN"/>
        </w:rPr>
        <w:t>urer</w:t>
      </w:r>
      <w:r>
        <w:rPr>
          <w:rFonts w:ascii="Times New Roman" w:eastAsia="SimSun" w:hAnsi="Times New Roman" w:cs="Times New Roman" w:hint="eastAsia"/>
          <w:lang w:eastAsia="zh-CN"/>
        </w:rPr>
        <w:t>等）</w:t>
      </w:r>
      <w:r>
        <w:rPr>
          <w:rFonts w:ascii="Times New Roman" w:eastAsia="SimSun" w:hAnsi="Times New Roman" w:cs="Times New Roman" w:hint="eastAsia"/>
          <w:lang w:eastAsia="zh-CN"/>
        </w:rPr>
        <w:t>+</w:t>
      </w:r>
      <w:r>
        <w:rPr>
          <w:rFonts w:ascii="Times New Roman" w:eastAsia="SimSun" w:hAnsi="Times New Roman" w:cs="Times New Roman" w:hint="eastAsia"/>
          <w:lang w:eastAsia="zh-CN"/>
        </w:rPr>
        <w:t>部门</w:t>
      </w:r>
      <w:r>
        <w:rPr>
          <w:rFonts w:ascii="Times New Roman" w:eastAsia="SimSun" w:hAnsi="Times New Roman" w:cs="Times New Roman" w:hint="eastAsia"/>
          <w:lang w:eastAsia="zh-CN"/>
        </w:rPr>
        <w:t>+</w:t>
      </w:r>
      <w:r>
        <w:rPr>
          <w:rFonts w:ascii="Times New Roman" w:eastAsia="SimSun" w:hAnsi="Times New Roman" w:cs="Times New Roman" w:hint="eastAsia"/>
          <w:lang w:eastAsia="zh-CN"/>
        </w:rPr>
        <w:t>机构</w:t>
      </w:r>
      <w:r>
        <w:rPr>
          <w:rFonts w:ascii="Times New Roman" w:eastAsia="SimSun" w:hAnsi="Times New Roman" w:cs="Times New Roman" w:hint="eastAsia"/>
          <w:lang w:eastAsia="zh-CN"/>
        </w:rPr>
        <w:t>+</w:t>
      </w:r>
      <w:r>
        <w:rPr>
          <w:rFonts w:ascii="Times New Roman" w:eastAsia="SimSun" w:hAnsi="Times New Roman" w:cs="Times New Roman" w:hint="eastAsia"/>
          <w:lang w:eastAsia="zh-CN"/>
        </w:rPr>
        <w:t>城市</w:t>
      </w:r>
      <w:r>
        <w:rPr>
          <w:rFonts w:ascii="Times New Roman" w:eastAsia="SimSun" w:hAnsi="Times New Roman" w:cs="Times New Roman" w:hint="eastAsia"/>
          <w:lang w:eastAsia="zh-CN"/>
        </w:rPr>
        <w:t>+</w:t>
      </w:r>
      <w:r>
        <w:rPr>
          <w:rFonts w:ascii="Times New Roman" w:eastAsia="SimSun" w:hAnsi="Times New Roman" w:cs="Times New Roman" w:hint="eastAsia"/>
          <w:lang w:eastAsia="zh-CN"/>
        </w:rPr>
        <w:t>国家）</w:t>
      </w:r>
      <w:r>
        <w:rPr>
          <w:rFonts w:ascii="Times New Roman" w:hAnsi="Times New Roman" w:cs="Times New Roman" w:hint="eastAsia"/>
          <w:highlight w:val="green"/>
          <w:lang w:eastAsia="zh-CN"/>
        </w:rPr>
        <w:t>（示例）</w:t>
      </w:r>
    </w:p>
    <w:p w14:paraId="1DE8C3DB" w14:textId="77777777" w:rsidR="00A76DEF" w:rsidRDefault="00A76DEF" w:rsidP="00A76DEF">
      <w:pPr>
        <w:shd w:val="clear" w:color="auto" w:fill="FFFFFF"/>
        <w:rPr>
          <w:rFonts w:ascii="Times New Roman" w:eastAsia="SimSun" w:hAnsi="Times New Roman" w:cs="Times New Roman" w:hint="eastAsia"/>
          <w:lang w:eastAsia="zh-CN"/>
        </w:rPr>
      </w:pPr>
    </w:p>
    <w:p w14:paraId="05AE6C73" w14:textId="77777777" w:rsidR="00A76DEF" w:rsidRDefault="00A76DEF" w:rsidP="00A76DEF">
      <w:pPr>
        <w:rPr>
          <w:rFonts w:ascii="Times New Roman" w:hAnsi="Times New Roman" w:cs="Times New Roman"/>
          <w:color w:val="FF0000"/>
          <w:highlight w:val="yellow"/>
          <w:lang w:eastAsia="zh-CN"/>
        </w:rPr>
      </w:pPr>
      <w:r>
        <w:rPr>
          <w:rFonts w:ascii="Times New Roman" w:hAnsi="Times New Roman" w:cs="Times New Roman" w:hint="eastAsia"/>
          <w:color w:val="FF0000"/>
          <w:highlight w:val="yellow"/>
          <w:lang w:eastAsia="zh-CN"/>
        </w:rPr>
        <w:t>必读：学术头衔（</w:t>
      </w:r>
      <w:r>
        <w:rPr>
          <w:rFonts w:ascii="Times New Roman" w:hAnsi="Times New Roman" w:cs="Times New Roman" w:hint="eastAsia"/>
          <w:color w:val="FF0000"/>
          <w:highlight w:val="yellow"/>
          <w:lang w:eastAsia="zh-CN"/>
        </w:rPr>
        <w:t>Master/Dr/Assistant Professor/ Professor/PHD candidate/PHD student/</w:t>
      </w:r>
      <w:r>
        <w:rPr>
          <w:rFonts w:ascii="Times New Roman" w:eastAsia="SimSun" w:hAnsi="Times New Roman" w:cs="Times New Roman" w:hint="eastAsia"/>
          <w:color w:val="FF0000"/>
          <w:highlight w:val="yellow"/>
        </w:rPr>
        <w:t>Lect</w:t>
      </w:r>
      <w:r>
        <w:rPr>
          <w:rFonts w:ascii="Times New Roman" w:eastAsia="SimSun" w:hAnsi="Times New Roman" w:cs="Times New Roman" w:hint="eastAsia"/>
          <w:color w:val="FF0000"/>
          <w:highlight w:val="yellow"/>
          <w:lang w:eastAsia="zh-CN"/>
        </w:rPr>
        <w:t>urer</w:t>
      </w:r>
      <w:r>
        <w:rPr>
          <w:rFonts w:ascii="Times New Roman" w:eastAsia="SimSun" w:hAnsi="Times New Roman" w:cs="Times New Roman" w:hint="eastAsia"/>
          <w:color w:val="FF0000"/>
          <w:highlight w:val="yellow"/>
          <w:lang w:eastAsia="zh-CN"/>
        </w:rPr>
        <w:t>等</w:t>
      </w:r>
      <w:r>
        <w:rPr>
          <w:rFonts w:ascii="Times New Roman" w:hAnsi="Times New Roman" w:cs="Times New Roman" w:hint="eastAsia"/>
          <w:color w:val="FF0000"/>
          <w:highlight w:val="yellow"/>
          <w:lang w:eastAsia="zh-CN"/>
        </w:rPr>
        <w:t>）</w:t>
      </w:r>
      <w:r>
        <w:rPr>
          <w:rFonts w:ascii="Times New Roman" w:hAnsi="Times New Roman" w:cs="Times New Roman" w:hint="eastAsia"/>
          <w:color w:val="FF0000"/>
          <w:highlight w:val="yellow"/>
          <w:lang w:eastAsia="zh-CN"/>
        </w:rPr>
        <w:t>+</w:t>
      </w:r>
      <w:r>
        <w:rPr>
          <w:rFonts w:ascii="Times New Roman" w:hAnsi="Times New Roman" w:cs="Times New Roman" w:hint="eastAsia"/>
          <w:color w:val="FF0000"/>
          <w:highlight w:val="yellow"/>
          <w:lang w:eastAsia="zh-CN"/>
        </w:rPr>
        <w:t>部门</w:t>
      </w:r>
      <w:r>
        <w:rPr>
          <w:rFonts w:ascii="Times New Roman" w:hAnsi="Times New Roman" w:cs="Times New Roman" w:hint="eastAsia"/>
          <w:color w:val="FF0000"/>
          <w:highlight w:val="yellow"/>
          <w:lang w:eastAsia="zh-CN"/>
        </w:rPr>
        <w:t>+</w:t>
      </w:r>
      <w:r>
        <w:rPr>
          <w:rFonts w:ascii="Times New Roman" w:hAnsi="Times New Roman" w:cs="Times New Roman" w:hint="eastAsia"/>
          <w:color w:val="FF0000"/>
          <w:highlight w:val="yellow"/>
          <w:lang w:eastAsia="zh-CN"/>
        </w:rPr>
        <w:t>机构</w:t>
      </w:r>
      <w:r>
        <w:rPr>
          <w:rFonts w:ascii="Times New Roman" w:hAnsi="Times New Roman" w:cs="Times New Roman" w:hint="eastAsia"/>
          <w:color w:val="FF0000"/>
          <w:highlight w:val="yellow"/>
          <w:lang w:eastAsia="zh-CN"/>
        </w:rPr>
        <w:t>+</w:t>
      </w:r>
      <w:r>
        <w:rPr>
          <w:rFonts w:ascii="Times New Roman" w:hAnsi="Times New Roman" w:cs="Times New Roman" w:hint="eastAsia"/>
          <w:color w:val="FF0000"/>
          <w:highlight w:val="yellow"/>
          <w:lang w:eastAsia="zh-CN"/>
        </w:rPr>
        <w:t>城市</w:t>
      </w:r>
      <w:r>
        <w:rPr>
          <w:rFonts w:ascii="Times New Roman" w:hAnsi="Times New Roman" w:cs="Times New Roman" w:hint="eastAsia"/>
          <w:color w:val="FF0000"/>
          <w:highlight w:val="yellow"/>
          <w:lang w:eastAsia="zh-CN"/>
        </w:rPr>
        <w:t>+</w:t>
      </w:r>
      <w:r>
        <w:rPr>
          <w:rFonts w:ascii="Times New Roman" w:hAnsi="Times New Roman" w:cs="Times New Roman" w:hint="eastAsia"/>
          <w:color w:val="FF0000"/>
          <w:highlight w:val="yellow"/>
          <w:lang w:eastAsia="zh-CN"/>
        </w:rPr>
        <w:t>国家）重要信息缺一不可！！！</w:t>
      </w:r>
    </w:p>
    <w:p w14:paraId="0F831A9F" w14:textId="77777777" w:rsidR="00A76DEF" w:rsidRDefault="00A76DEF" w:rsidP="00A76DEF">
      <w:pPr>
        <w:rPr>
          <w:rFonts w:ascii="Times New Roman" w:eastAsia="SimSun" w:hAnsi="Times New Roman" w:cs="Times New Roman" w:hint="eastAsia"/>
          <w:color w:val="FF0000"/>
          <w:highlight w:val="yellow"/>
          <w:lang w:eastAsia="zh-CN"/>
        </w:rPr>
      </w:pPr>
    </w:p>
    <w:p w14:paraId="33A10AFF" w14:textId="77777777" w:rsidR="00A76DEF" w:rsidRDefault="00A76DEF" w:rsidP="00A76DEF">
      <w:pPr>
        <w:rPr>
          <w:rFonts w:ascii="Times New Roman" w:eastAsia="Microsoft YaHei" w:hAnsi="Times New Roman" w:cs="Times New Roman"/>
          <w:b/>
          <w:bCs/>
          <w:color w:val="2E3033"/>
          <w:highlight w:val="yellow"/>
          <w:shd w:val="clear" w:color="auto" w:fill="FFFFFF"/>
          <w:lang w:eastAsia="zh-CN" w:bidi="ar"/>
        </w:rPr>
      </w:pPr>
      <w:r>
        <w:rPr>
          <w:rFonts w:ascii="Times New Roman" w:eastAsia="SimSun" w:hAnsi="Times New Roman" w:cs="Times New Roman" w:hint="eastAsia"/>
          <w:color w:val="FF0000"/>
          <w:highlight w:val="yellow"/>
          <w:lang w:eastAsia="zh-CN"/>
        </w:rPr>
        <w:t>如一个作者有多个机构和头衔，可分别对应填写。</w:t>
      </w:r>
    </w:p>
    <w:p w14:paraId="73ED4EDA" w14:textId="77777777" w:rsidR="00A76DEF" w:rsidRDefault="00A76DEF" w:rsidP="00A76DEF">
      <w:pPr>
        <w:rPr>
          <w:rFonts w:ascii="Times New Roman" w:eastAsia="Microsoft YaHei" w:hAnsi="Times New Roman" w:cs="Times New Roman" w:hint="eastAsia"/>
          <w:b/>
          <w:bCs/>
          <w:color w:val="2E3033"/>
          <w:shd w:val="clear" w:color="auto" w:fill="FFFFFF"/>
          <w:lang w:eastAsia="zh-CN" w:bidi="ar"/>
        </w:rPr>
      </w:pPr>
    </w:p>
    <w:p w14:paraId="71F701D8" w14:textId="77777777" w:rsidR="00A76DEF" w:rsidRDefault="00A76DEF" w:rsidP="00A76DEF">
      <w:pPr>
        <w:rPr>
          <w:rFonts w:ascii="Times New Roman" w:eastAsia="Microsoft YaHei" w:hAnsi="Times New Roman" w:cs="Times New Roman"/>
          <w:b/>
          <w:bCs/>
          <w:color w:val="2E3033"/>
          <w:shd w:val="clear" w:color="auto" w:fill="FFFFFF"/>
          <w:lang w:eastAsia="zh-CN" w:bidi="ar"/>
        </w:rPr>
      </w:pPr>
      <w:r>
        <w:rPr>
          <w:rFonts w:ascii="Times New Roman" w:eastAsia="Microsoft YaHei" w:hAnsi="Times New Roman" w:cs="Times New Roman" w:hint="eastAsia"/>
          <w:b/>
          <w:bCs/>
          <w:color w:val="2E3033"/>
          <w:shd w:val="clear" w:color="auto" w:fill="FFFFFF"/>
          <w:lang w:eastAsia="zh-CN" w:bidi="ar"/>
        </w:rPr>
        <w:t>所有作者邮箱</w:t>
      </w:r>
      <w:r>
        <w:rPr>
          <w:rFonts w:ascii="Times New Roman" w:eastAsia="Microsoft YaHei" w:hAnsi="Times New Roman" w:cs="Times New Roman" w:hint="eastAsia"/>
          <w:b/>
          <w:bCs/>
          <w:color w:val="2E3033"/>
          <w:shd w:val="clear" w:color="auto" w:fill="FFFFFF"/>
          <w:lang w:eastAsia="zh-CN" w:bidi="ar"/>
        </w:rPr>
        <w:t>/All author emails:</w:t>
      </w:r>
    </w:p>
    <w:p w14:paraId="2C0EB707" w14:textId="77777777" w:rsidR="00A76DEF" w:rsidRDefault="00A76DEF" w:rsidP="00A76DEF">
      <w:pPr>
        <w:rPr>
          <w:rFonts w:ascii="Times New Roman" w:hAnsi="Times New Roman" w:cs="Times New Roman"/>
          <w:lang w:eastAsia="zh-CN"/>
        </w:rPr>
      </w:pPr>
      <w:r>
        <w:rPr>
          <w:rFonts w:ascii="Times New Roman" w:hAnsi="Times New Roman" w:cs="Times New Roman"/>
          <w:lang w:eastAsia="zh-CN"/>
        </w:rPr>
        <w:t>First author email:</w:t>
      </w:r>
      <w:r>
        <w:rPr>
          <w:rFonts w:ascii="Times New Roman" w:hAnsi="Times New Roman" w:cs="Times New Roman" w:hint="eastAsia"/>
          <w:lang w:eastAsia="zh-CN"/>
        </w:rPr>
        <w:t xml:space="preserve"> </w:t>
      </w:r>
      <w:hyperlink r:id="rId7" w:history="1">
        <w:r>
          <w:rPr>
            <w:rStyle w:val="Hyperlink"/>
            <w:rFonts w:ascii="Times New Roman" w:hAnsi="Times New Roman" w:hint="eastAsia"/>
            <w:lang w:eastAsia="zh-CN"/>
          </w:rPr>
          <w:t>xaiu15051@xaiu.edu.cn</w:t>
        </w:r>
      </w:hyperlink>
      <w:r>
        <w:rPr>
          <w:rFonts w:ascii="Times New Roman" w:hAnsi="Times New Roman" w:hint="eastAsia"/>
          <w:lang w:eastAsia="zh-CN"/>
        </w:rPr>
        <w:t xml:space="preserve">   </w:t>
      </w:r>
    </w:p>
    <w:p w14:paraId="7A3D1D91" w14:textId="77777777" w:rsidR="00A76DEF" w:rsidRDefault="00A76DEF" w:rsidP="00A76DEF">
      <w:pPr>
        <w:rPr>
          <w:rFonts w:ascii="Times New Roman" w:hAnsi="Times New Roman" w:cs="Times New Roman"/>
          <w:lang w:eastAsia="zh-CN"/>
        </w:rPr>
      </w:pPr>
    </w:p>
    <w:p w14:paraId="0FA4C86D" w14:textId="77777777" w:rsidR="00A76DEF" w:rsidRDefault="00A76DEF" w:rsidP="00A76DEF">
      <w:pPr>
        <w:rPr>
          <w:rFonts w:ascii="Times New Roman" w:hAnsi="Times New Roman" w:cs="Times New Roman" w:hint="eastAsia"/>
          <w:highlight w:val="yellow"/>
          <w:lang w:eastAsia="zh-CN"/>
        </w:rPr>
      </w:pPr>
    </w:p>
    <w:p w14:paraId="3FA9BAE4" w14:textId="77777777" w:rsidR="00A76DEF" w:rsidRDefault="00A76DEF" w:rsidP="00A76DEF">
      <w:pPr>
        <w:rPr>
          <w:rFonts w:ascii="Times New Roman" w:hAnsi="Times New Roman" w:cs="Times New Roman"/>
          <w:highlight w:val="yellow"/>
          <w:lang w:eastAsia="zh-CN"/>
        </w:rPr>
      </w:pPr>
      <w:r>
        <w:rPr>
          <w:rFonts w:ascii="Times New Roman" w:hAnsi="Times New Roman" w:cs="Times New Roman" w:hint="eastAsia"/>
          <w:highlight w:val="yellow"/>
          <w:lang w:eastAsia="zh-CN"/>
        </w:rPr>
        <w:t>如无</w:t>
      </w:r>
      <w:r>
        <w:rPr>
          <w:rFonts w:ascii="Times New Roman" w:hAnsi="Times New Roman" w:cs="Times New Roman" w:hint="eastAsia"/>
          <w:highlight w:val="yellow"/>
          <w:lang w:eastAsia="zh-CN"/>
        </w:rPr>
        <w:t>ORCID</w:t>
      </w:r>
      <w:r>
        <w:rPr>
          <w:rFonts w:ascii="Times New Roman" w:hAnsi="Times New Roman" w:cs="Times New Roman" w:hint="eastAsia"/>
          <w:highlight w:val="yellow"/>
          <w:lang w:eastAsia="zh-CN"/>
        </w:rPr>
        <w:t>链接请在此处注册，注册后将以往发表过的文章更新在次链接上，如无发表文章则不更新。</w:t>
      </w:r>
      <w:r>
        <w:rPr>
          <w:rFonts w:ascii="Times New Roman" w:hAnsi="Times New Roman" w:cs="Times New Roman" w:hint="eastAsia"/>
          <w:highlight w:val="yellow"/>
          <w:lang w:eastAsia="zh-CN"/>
        </w:rPr>
        <w:t>https://orcid.org/signin</w:t>
      </w:r>
      <w:r>
        <w:rPr>
          <w:rFonts w:ascii="Times New Roman" w:hAnsi="Times New Roman" w:cs="Times New Roman" w:hint="eastAsia"/>
          <w:highlight w:val="yellow"/>
          <w:lang w:eastAsia="zh-CN"/>
        </w:rPr>
        <w:t>。</w:t>
      </w:r>
    </w:p>
    <w:p w14:paraId="6D7386A1" w14:textId="77777777" w:rsidR="00A76DEF" w:rsidRDefault="00A76DEF" w:rsidP="00A76DEF">
      <w:pPr>
        <w:rPr>
          <w:rFonts w:ascii="Times New Roman" w:hAnsi="Times New Roman" w:cs="Times New Roman" w:hint="eastAsia"/>
          <w:lang w:eastAsia="zh-CN"/>
        </w:rPr>
      </w:pPr>
    </w:p>
    <w:p w14:paraId="0400CB79" w14:textId="77777777" w:rsidR="00A76DEF" w:rsidRDefault="00A76DEF" w:rsidP="00A76DEF">
      <w:pPr>
        <w:rPr>
          <w:rFonts w:ascii="Times New Roman" w:eastAsia="Microsoft YaHei" w:hAnsi="Times New Roman" w:cs="Times New Roman" w:hint="eastAsia"/>
          <w:b/>
          <w:bCs/>
          <w:color w:val="2E3033"/>
          <w:shd w:val="clear" w:color="auto" w:fill="FFFFFF"/>
          <w:lang w:eastAsia="zh-CN" w:bidi="ar"/>
        </w:rPr>
      </w:pPr>
    </w:p>
    <w:p w14:paraId="2D8A9389" w14:textId="77777777" w:rsidR="00A76DEF" w:rsidRDefault="00A76DEF" w:rsidP="00A76DEF">
      <w:pPr>
        <w:rPr>
          <w:rFonts w:ascii="Times New Roman" w:eastAsia="Microsoft YaHei" w:hAnsi="Times New Roman" w:cs="Times New Roman" w:hint="eastAsia"/>
          <w:b/>
          <w:bCs/>
          <w:color w:val="2E3033"/>
          <w:shd w:val="clear" w:color="auto" w:fill="FFFFFF"/>
          <w:lang w:eastAsia="zh-CN" w:bidi="ar"/>
        </w:rPr>
      </w:pPr>
      <w:r>
        <w:rPr>
          <w:rFonts w:ascii="Times New Roman" w:eastAsia="Microsoft YaHei" w:hAnsi="Times New Roman" w:cs="Times New Roman" w:hint="eastAsia"/>
          <w:b/>
          <w:bCs/>
          <w:color w:val="2E3033"/>
          <w:shd w:val="clear" w:color="auto" w:fill="FFFFFF"/>
          <w:lang w:eastAsia="zh-CN" w:bidi="ar"/>
        </w:rPr>
        <w:t>所有作者头衔</w:t>
      </w:r>
      <w:r>
        <w:rPr>
          <w:rFonts w:ascii="Times New Roman" w:eastAsia="Microsoft YaHei" w:hAnsi="Times New Roman" w:cs="Times New Roman" w:hint="eastAsia"/>
          <w:b/>
          <w:bCs/>
          <w:color w:val="2E3033"/>
          <w:shd w:val="clear" w:color="auto" w:fill="FFFFFF"/>
          <w:lang w:eastAsia="zh-CN" w:bidi="ar"/>
        </w:rPr>
        <w:t>/</w:t>
      </w:r>
      <w:r>
        <w:rPr>
          <w:rFonts w:ascii="Times New Roman" w:hAnsi="Times New Roman" w:hint="eastAsia"/>
          <w:b/>
          <w:bCs/>
        </w:rPr>
        <w:t>All author titles</w:t>
      </w:r>
      <w:r>
        <w:rPr>
          <w:rFonts w:ascii="Times New Roman" w:hAnsi="Times New Roman" w:hint="eastAsia"/>
          <w:b/>
          <w:bCs/>
          <w:lang w:eastAsia="zh-CN"/>
        </w:rPr>
        <w:t>:</w:t>
      </w:r>
    </w:p>
    <w:p w14:paraId="384AB98C" w14:textId="77777777" w:rsidR="00A76DEF" w:rsidRDefault="00A76DEF" w:rsidP="00A76DEF">
      <w:pPr>
        <w:rPr>
          <w:rFonts w:ascii="Times New Roman" w:eastAsia="SimSun" w:hAnsi="Times New Roman"/>
          <w:lang w:eastAsia="zh-CN"/>
        </w:rPr>
      </w:pPr>
      <w:r>
        <w:rPr>
          <w:rFonts w:ascii="Times New Roman" w:hAnsi="Times New Roman"/>
        </w:rPr>
        <w:t xml:space="preserve">First </w:t>
      </w:r>
      <w:r>
        <w:rPr>
          <w:rFonts w:ascii="Times New Roman" w:hAnsi="Times New Roman" w:hint="eastAsia"/>
          <w:lang w:eastAsia="zh-CN"/>
        </w:rPr>
        <w:t>a</w:t>
      </w:r>
      <w:r>
        <w:rPr>
          <w:rFonts w:ascii="Times New Roman" w:hAnsi="Times New Roman"/>
        </w:rPr>
        <w:t>uthor</w:t>
      </w:r>
      <w:r>
        <w:rPr>
          <w:rFonts w:ascii="Times New Roman" w:hAnsi="Times New Roman" w:hint="eastAsia"/>
          <w:lang w:eastAsia="zh-CN"/>
        </w:rPr>
        <w:t xml:space="preserve"> </w:t>
      </w:r>
      <w:r>
        <w:rPr>
          <w:rFonts w:ascii="Times New Roman" w:hAnsi="Times New Roman" w:hint="eastAsia"/>
        </w:rPr>
        <w:t>title</w:t>
      </w:r>
      <w:r>
        <w:rPr>
          <w:rFonts w:ascii="Times New Roman" w:hAnsi="Times New Roman" w:hint="eastAsia"/>
          <w:lang w:eastAsia="zh-CN"/>
        </w:rPr>
        <w:t xml:space="preserve">: </w:t>
      </w:r>
    </w:p>
    <w:p w14:paraId="25BD1457" w14:textId="77777777" w:rsidR="00A76DEF" w:rsidRDefault="00A76DEF" w:rsidP="00A76DEF">
      <w:pPr>
        <w:rPr>
          <w:rFonts w:ascii="Times New Roman" w:hAnsi="Times New Roman" w:hint="eastAsia"/>
          <w:lang w:eastAsia="zh-CN"/>
        </w:rPr>
      </w:pPr>
      <w:r>
        <w:rPr>
          <w:rFonts w:ascii="Times New Roman" w:hAnsi="Times New Roman"/>
        </w:rPr>
        <w:t xml:space="preserve">Second </w:t>
      </w:r>
      <w:r>
        <w:rPr>
          <w:rFonts w:ascii="Times New Roman" w:hAnsi="Times New Roman" w:hint="eastAsia"/>
          <w:lang w:eastAsia="zh-CN"/>
        </w:rPr>
        <w:t>a</w:t>
      </w:r>
      <w:r>
        <w:rPr>
          <w:rFonts w:ascii="Times New Roman" w:hAnsi="Times New Roman"/>
        </w:rPr>
        <w:t>uthor</w:t>
      </w:r>
      <w:r>
        <w:rPr>
          <w:rFonts w:ascii="Times New Roman" w:hAnsi="Times New Roman" w:hint="eastAsia"/>
          <w:lang w:eastAsia="zh-CN"/>
        </w:rPr>
        <w:t xml:space="preserve"> </w:t>
      </w:r>
      <w:r>
        <w:rPr>
          <w:rFonts w:ascii="Times New Roman" w:hAnsi="Times New Roman" w:hint="eastAsia"/>
        </w:rPr>
        <w:t>title</w:t>
      </w:r>
      <w:r>
        <w:rPr>
          <w:rFonts w:ascii="Times New Roman" w:hAnsi="Times New Roman"/>
        </w:rPr>
        <w:t>:</w:t>
      </w:r>
      <w:r>
        <w:rPr>
          <w:rFonts w:ascii="Times New Roman" w:hAnsi="Times New Roman" w:hint="eastAsia"/>
          <w:lang w:eastAsia="zh-CN"/>
        </w:rPr>
        <w:t xml:space="preserve"> </w:t>
      </w:r>
    </w:p>
    <w:p w14:paraId="61C21755" w14:textId="77777777" w:rsidR="00A76DEF" w:rsidRDefault="00A76DEF" w:rsidP="00A76DEF">
      <w:pPr>
        <w:rPr>
          <w:rFonts w:ascii="Times New Roman" w:hAnsi="Times New Roman"/>
          <w:lang w:eastAsia="zh-CN"/>
        </w:rPr>
      </w:pPr>
      <w:r>
        <w:rPr>
          <w:rFonts w:ascii="Times New Roman" w:hAnsi="Times New Roman" w:hint="eastAsia"/>
          <w:lang w:eastAsia="zh-CN"/>
        </w:rPr>
        <w:t xml:space="preserve">Third author </w:t>
      </w:r>
      <w:r>
        <w:rPr>
          <w:rFonts w:ascii="Times New Roman" w:hAnsi="Times New Roman" w:hint="eastAsia"/>
        </w:rPr>
        <w:t>title</w:t>
      </w:r>
      <w:r>
        <w:rPr>
          <w:rFonts w:ascii="Times New Roman" w:hAnsi="Times New Roman" w:hint="eastAsia"/>
          <w:lang w:eastAsia="zh-CN"/>
        </w:rPr>
        <w:t xml:space="preserve">: </w:t>
      </w:r>
    </w:p>
    <w:p w14:paraId="6E060DE3" w14:textId="77777777" w:rsidR="00A76DEF" w:rsidRDefault="00A76DEF" w:rsidP="00A76DEF">
      <w:pPr>
        <w:rPr>
          <w:rFonts w:ascii="Times New Roman" w:hAnsi="Times New Roman" w:cs="Times New Roman" w:hint="eastAsia"/>
          <w:highlight w:val="yellow"/>
          <w:lang w:eastAsia="zh-CN"/>
        </w:rPr>
      </w:pPr>
      <w:r>
        <w:rPr>
          <w:rFonts w:ascii="Times New Roman" w:hAnsi="Times New Roman" w:cs="Times New Roman" w:hint="eastAsia"/>
          <w:lang w:eastAsia="zh-CN"/>
        </w:rPr>
        <w:t xml:space="preserve">Corresponding author </w:t>
      </w:r>
      <w:r>
        <w:rPr>
          <w:rFonts w:ascii="Times New Roman" w:hAnsi="Times New Roman" w:hint="eastAsia"/>
        </w:rPr>
        <w:t>title</w:t>
      </w:r>
      <w:r>
        <w:rPr>
          <w:rFonts w:ascii="Times New Roman" w:hAnsi="Times New Roman" w:cs="Times New Roman" w:hint="eastAsia"/>
          <w:lang w:eastAsia="zh-CN"/>
        </w:rPr>
        <w:t xml:space="preserve">: </w:t>
      </w:r>
    </w:p>
    <w:p w14:paraId="794FC0E3" w14:textId="77777777" w:rsidR="00A76DEF" w:rsidRDefault="00A76DEF" w:rsidP="00A76DEF">
      <w:pPr>
        <w:rPr>
          <w:rFonts w:ascii="Times New Roman" w:hAnsi="Times New Roman" w:cs="Times New Roman" w:hint="eastAsia"/>
          <w:lang w:eastAsia="zh-CN"/>
        </w:rPr>
      </w:pPr>
    </w:p>
    <w:p w14:paraId="03A7B563" w14:textId="77777777" w:rsidR="00A76DEF" w:rsidRDefault="00A76DEF" w:rsidP="00A76DEF">
      <w:pPr>
        <w:rPr>
          <w:rFonts w:ascii="Times New Roman" w:hAnsi="Times New Roman" w:cs="Times New Roman" w:hint="eastAsia"/>
          <w:lang w:eastAsia="zh-CN"/>
        </w:rPr>
      </w:pPr>
    </w:p>
    <w:p w14:paraId="53E64040" w14:textId="77777777" w:rsidR="00A76DEF" w:rsidRDefault="00A76DEF" w:rsidP="00A76DEF">
      <w:pPr>
        <w:rPr>
          <w:rFonts w:ascii="Times New Roman" w:hAnsi="Times New Roman" w:cs="Times New Roman" w:hint="eastAsia"/>
          <w:b/>
          <w:bCs/>
          <w:color w:val="FF0000"/>
          <w:lang w:eastAsia="zh-CN"/>
        </w:rPr>
      </w:pPr>
      <w:r>
        <w:rPr>
          <w:rFonts w:ascii="Microsoft YaHei" w:eastAsia="Microsoft YaHei" w:hAnsi="Microsoft YaHei" w:cs="Microsoft YaHei" w:hint="eastAsia"/>
          <w:b/>
          <w:bCs/>
          <w:lang w:eastAsia="zh-CN"/>
        </w:rPr>
        <w:t>项目资金</w:t>
      </w:r>
      <w:r>
        <w:rPr>
          <w:rFonts w:ascii="Times New Roman" w:hAnsi="Times New Roman" w:cs="Times New Roman" w:hint="eastAsia"/>
          <w:b/>
          <w:bCs/>
          <w:lang w:eastAsia="zh-CN"/>
        </w:rPr>
        <w:t xml:space="preserve">/Project Funding: </w:t>
      </w:r>
      <w:r>
        <w:rPr>
          <w:rFonts w:ascii="Times New Roman" w:hAnsi="Times New Roman" w:cs="Times New Roman" w:hint="eastAsia"/>
          <w:b/>
          <w:bCs/>
          <w:color w:val="FF0000"/>
          <w:lang w:eastAsia="zh-CN"/>
        </w:rPr>
        <w:t>(</w:t>
      </w:r>
      <w:r>
        <w:rPr>
          <w:rFonts w:ascii="Microsoft YaHei" w:eastAsia="Microsoft YaHei" w:hAnsi="Microsoft YaHei" w:cs="Microsoft YaHei" w:hint="eastAsia"/>
          <w:b/>
          <w:bCs/>
          <w:color w:val="FF0000"/>
          <w:lang w:eastAsia="zh-CN"/>
        </w:rPr>
        <w:t>如无则不填写</w:t>
      </w:r>
      <w:r>
        <w:rPr>
          <w:rFonts w:ascii="Times New Roman" w:hAnsi="Times New Roman" w:cs="Times New Roman" w:hint="eastAsia"/>
          <w:b/>
          <w:bCs/>
          <w:color w:val="FF0000"/>
          <w:lang w:eastAsia="zh-CN"/>
        </w:rPr>
        <w:t>)</w:t>
      </w:r>
      <w:r>
        <w:rPr>
          <w:rFonts w:ascii="Times New Roman" w:hAnsi="Times New Roman" w:cs="Times New Roman" w:hint="eastAsia"/>
          <w:b/>
          <w:bCs/>
          <w:color w:val="FF0000"/>
          <w:lang w:eastAsia="zh-CN"/>
        </w:rPr>
        <w:t>月底前提供最终的</w:t>
      </w:r>
    </w:p>
    <w:p w14:paraId="433BB450" w14:textId="77777777" w:rsidR="00A76DEF" w:rsidRDefault="00A76DEF" w:rsidP="00A76DEF">
      <w:pPr>
        <w:rPr>
          <w:rFonts w:ascii="Times New Roman" w:hAnsi="Times New Roman"/>
        </w:rPr>
      </w:pPr>
      <w:r>
        <w:rPr>
          <w:rFonts w:ascii="Times New Roman" w:hAnsi="Times New Roman" w:hint="eastAsia"/>
        </w:rPr>
        <w:t>本文系陕西省教育厅科学研究计划项目资助“文体旅融合视阈下陕西民办高校戏剧表演专业的发展现状与体系建构研究”（项目编号：</w:t>
      </w:r>
      <w:r>
        <w:rPr>
          <w:rFonts w:ascii="Times New Roman" w:hAnsi="Times New Roman" w:hint="eastAsia"/>
        </w:rPr>
        <w:t>23JZ055</w:t>
      </w:r>
      <w:r>
        <w:rPr>
          <w:rFonts w:ascii="Times New Roman" w:hAnsi="Times New Roman" w:hint="eastAsia"/>
        </w:rPr>
        <w:t>）</w:t>
      </w:r>
    </w:p>
    <w:p w14:paraId="64812B77" w14:textId="77777777" w:rsidR="00A76DEF" w:rsidRDefault="00A76DEF" w:rsidP="00A76DEF">
      <w:pPr>
        <w:rPr>
          <w:rFonts w:ascii="Times New Roman" w:eastAsia="SimSun" w:hAnsi="Times New Roman" w:cs="Times New Roman"/>
        </w:rPr>
      </w:pPr>
      <w:r>
        <w:rPr>
          <w:rFonts w:ascii="Times New Roman" w:eastAsia="SimSun" w:hAnsi="Times New Roman" w:cs="Times New Roman"/>
          <w:lang w:eastAsia="zh-CN"/>
        </w:rPr>
        <w:t xml:space="preserve">Scientific Research Program Funded by Education Department of </w:t>
      </w:r>
      <w:proofErr w:type="spellStart"/>
      <w:r>
        <w:rPr>
          <w:rFonts w:ascii="Times New Roman" w:eastAsia="SimSun" w:hAnsi="Times New Roman" w:cs="Times New Roman"/>
          <w:lang w:eastAsia="zh-CN"/>
        </w:rPr>
        <w:t>ShaanxiProvincial</w:t>
      </w:r>
      <w:proofErr w:type="spellEnd"/>
      <w:r>
        <w:rPr>
          <w:rFonts w:ascii="Times New Roman" w:eastAsia="SimSun" w:hAnsi="Times New Roman" w:cs="Times New Roman"/>
          <w:lang w:eastAsia="zh-CN"/>
        </w:rPr>
        <w:t xml:space="preserve"> Government </w:t>
      </w:r>
    </w:p>
    <w:p w14:paraId="4A6D5C3B" w14:textId="77777777" w:rsidR="00A76DEF" w:rsidRDefault="00A76DEF" w:rsidP="00A76DEF">
      <w:pPr>
        <w:rPr>
          <w:rFonts w:ascii="Times New Roman" w:eastAsia="SimSun" w:hAnsi="Times New Roman" w:cs="Times New Roman"/>
        </w:rPr>
      </w:pPr>
      <w:r>
        <w:rPr>
          <w:rFonts w:ascii="Times New Roman" w:eastAsia="SimSun" w:hAnsi="Times New Roman" w:cs="Times New Roman"/>
          <w:lang w:eastAsia="zh-CN"/>
        </w:rPr>
        <w:t>（</w:t>
      </w:r>
      <w:r>
        <w:rPr>
          <w:rFonts w:ascii="Times New Roman" w:eastAsia="SimSun" w:hAnsi="Times New Roman" w:cs="Times New Roman"/>
          <w:lang w:eastAsia="zh-CN"/>
        </w:rPr>
        <w:t>Program No.</w:t>
      </w:r>
      <w:r>
        <w:rPr>
          <w:rFonts w:ascii="Times New Roman" w:hAnsi="Times New Roman" w:hint="eastAsia"/>
        </w:rPr>
        <w:t>23JZ055</w:t>
      </w:r>
      <w:r>
        <w:rPr>
          <w:rFonts w:ascii="Times New Roman" w:eastAsia="SimSun" w:hAnsi="Times New Roman" w:cs="Times New Roman"/>
          <w:lang w:eastAsia="zh-CN"/>
        </w:rPr>
        <w:t>）</w:t>
      </w:r>
    </w:p>
    <w:p w14:paraId="607821C4" w14:textId="77777777" w:rsidR="00A76DEF" w:rsidRDefault="00A76DEF" w:rsidP="00A76DEF">
      <w:pPr>
        <w:rPr>
          <w:rFonts w:ascii="Times New Roman" w:hAnsi="Times New Roman" w:cs="Times New Roman" w:hint="eastAsia"/>
          <w:b/>
          <w:bCs/>
          <w:color w:val="FF0000"/>
          <w:lang w:eastAsia="zh-CN"/>
        </w:rPr>
      </w:pPr>
    </w:p>
    <w:p w14:paraId="7BB45057" w14:textId="77777777" w:rsidR="00A76DEF" w:rsidRDefault="00A76DEF" w:rsidP="00A76DEF">
      <w:pPr>
        <w:rPr>
          <w:rFonts w:ascii="Times New Roman" w:hAnsi="Times New Roman" w:cs="Times New Roman" w:hint="eastAsia"/>
          <w:b/>
          <w:bCs/>
          <w:color w:val="FF0000"/>
          <w:lang w:eastAsia="zh-CN"/>
        </w:rPr>
      </w:pPr>
    </w:p>
    <w:p w14:paraId="4F7B0846" w14:textId="77777777" w:rsidR="00A76DEF" w:rsidRDefault="00A76DEF" w:rsidP="00A76DEF">
      <w:pPr>
        <w:widowControl w:val="0"/>
        <w:spacing w:line="360" w:lineRule="auto"/>
        <w:rPr>
          <w:rFonts w:ascii="Times New Roman" w:hAnsi="Times New Roman" w:cs="Times New Roman" w:hint="eastAsia"/>
          <w:color w:val="FF0000"/>
          <w:lang w:eastAsia="zh-CN"/>
        </w:rPr>
      </w:pPr>
      <w:r>
        <w:rPr>
          <w:rFonts w:ascii="Times New Roman" w:hAnsi="Times New Roman" w:cs="Times New Roman" w:hint="eastAsia"/>
          <w:color w:val="FF0000"/>
          <w:lang w:eastAsia="zh-CN"/>
        </w:rPr>
        <w:t>注意事项：</w:t>
      </w:r>
    </w:p>
    <w:p w14:paraId="3DF94A35" w14:textId="77777777" w:rsidR="00A76DEF" w:rsidRDefault="00A76DEF" w:rsidP="00A76DEF">
      <w:pPr>
        <w:widowControl w:val="0"/>
        <w:numPr>
          <w:ilvl w:val="0"/>
          <w:numId w:val="6"/>
        </w:numPr>
        <w:spacing w:after="0" w:line="360" w:lineRule="auto"/>
        <w:rPr>
          <w:rFonts w:ascii="Times New Roman" w:hAnsi="Times New Roman" w:cs="Times New Roman"/>
          <w:color w:val="FF0000"/>
          <w:lang w:eastAsia="zh-CN"/>
        </w:rPr>
      </w:pPr>
      <w:r>
        <w:rPr>
          <w:rFonts w:ascii="Times New Roman" w:hAnsi="Times New Roman" w:cs="Times New Roman" w:hint="eastAsia"/>
          <w:color w:val="FF0000"/>
          <w:lang w:eastAsia="zh-CN"/>
        </w:rPr>
        <w:t>请作者务必仔细确认好作者信息没有错误、遗漏，后续修改作者信息有修改不成功的可能！请确保所有作者均知晓并同意论文发表</w:t>
      </w:r>
    </w:p>
    <w:p w14:paraId="1FA0B8DC" w14:textId="77777777" w:rsidR="00A76DEF" w:rsidRDefault="00A76DEF" w:rsidP="00A76DEF">
      <w:pPr>
        <w:widowControl w:val="0"/>
        <w:numPr>
          <w:ilvl w:val="0"/>
          <w:numId w:val="6"/>
        </w:numPr>
        <w:spacing w:after="0" w:line="360" w:lineRule="auto"/>
        <w:rPr>
          <w:rFonts w:ascii="Times New Roman" w:hAnsi="Times New Roman" w:cs="Times New Roman"/>
          <w:color w:val="FF0000"/>
          <w:lang w:eastAsia="zh-CN"/>
        </w:rPr>
      </w:pPr>
      <w:proofErr w:type="spellStart"/>
      <w:r>
        <w:rPr>
          <w:rFonts w:ascii="Times New Roman" w:hAnsi="Times New Roman" w:cs="Times New Roman" w:hint="eastAsia"/>
          <w:color w:val="FF0000"/>
          <w:lang w:eastAsia="zh-CN"/>
        </w:rPr>
        <w:t>qq</w:t>
      </w:r>
      <w:proofErr w:type="spellEnd"/>
      <w:r>
        <w:rPr>
          <w:rFonts w:ascii="Times New Roman" w:hAnsi="Times New Roman" w:cs="Times New Roman" w:hint="eastAsia"/>
          <w:color w:val="FF0000"/>
          <w:lang w:eastAsia="zh-CN"/>
        </w:rPr>
        <w:t>邮箱不可使用，请勿填写</w:t>
      </w:r>
      <w:proofErr w:type="spellStart"/>
      <w:r>
        <w:rPr>
          <w:rFonts w:ascii="Times New Roman" w:hAnsi="Times New Roman" w:cs="Times New Roman" w:hint="eastAsia"/>
          <w:color w:val="FF0000"/>
          <w:lang w:eastAsia="zh-CN"/>
        </w:rPr>
        <w:t>qq</w:t>
      </w:r>
      <w:proofErr w:type="spellEnd"/>
      <w:r>
        <w:rPr>
          <w:rFonts w:ascii="Times New Roman" w:hAnsi="Times New Roman" w:cs="Times New Roman" w:hint="eastAsia"/>
          <w:color w:val="FF0000"/>
          <w:lang w:eastAsia="zh-CN"/>
        </w:rPr>
        <w:t>邮箱</w:t>
      </w:r>
    </w:p>
    <w:p w14:paraId="73E08F15" w14:textId="77777777" w:rsidR="00A76DEF" w:rsidRDefault="00A76DEF" w:rsidP="00A76DEF">
      <w:pPr>
        <w:widowControl w:val="0"/>
        <w:numPr>
          <w:ilvl w:val="0"/>
          <w:numId w:val="6"/>
        </w:numPr>
        <w:spacing w:after="0" w:line="360" w:lineRule="auto"/>
        <w:rPr>
          <w:rFonts w:ascii="Times New Roman" w:hAnsi="Times New Roman" w:cs="Times New Roman"/>
          <w:color w:val="FF0000"/>
          <w:lang w:eastAsia="zh-CN"/>
        </w:rPr>
      </w:pPr>
      <w:r>
        <w:rPr>
          <w:rFonts w:ascii="Times New Roman" w:hAnsi="Times New Roman" w:cs="Times New Roman" w:hint="eastAsia"/>
          <w:color w:val="FF0000"/>
          <w:lang w:eastAsia="zh-CN"/>
        </w:rPr>
        <w:t>除项目资金外，所有项目均为必填项目，请确保</w:t>
      </w:r>
      <w:r>
        <w:rPr>
          <w:rFonts w:ascii="Times New Roman" w:hAnsi="Times New Roman" w:cs="Times New Roman" w:hint="eastAsia"/>
          <w:color w:val="FF0000"/>
          <w:u w:val="single"/>
          <w:lang w:eastAsia="zh-CN"/>
        </w:rPr>
        <w:t>每个</w:t>
      </w:r>
      <w:r>
        <w:rPr>
          <w:rFonts w:ascii="Times New Roman" w:hAnsi="Times New Roman" w:cs="Times New Roman" w:hint="eastAsia"/>
          <w:color w:val="FF0000"/>
          <w:lang w:eastAsia="zh-CN"/>
        </w:rPr>
        <w:t>作者的</w:t>
      </w:r>
      <w:r>
        <w:rPr>
          <w:rFonts w:ascii="Times New Roman" w:hAnsi="Times New Roman" w:cs="Times New Roman" w:hint="eastAsia"/>
          <w:color w:val="FF0000"/>
          <w:u w:val="single"/>
          <w:lang w:eastAsia="zh-CN"/>
        </w:rPr>
        <w:t>所有</w:t>
      </w:r>
      <w:r>
        <w:rPr>
          <w:rFonts w:ascii="Times New Roman" w:hAnsi="Times New Roman" w:cs="Times New Roman" w:hint="eastAsia"/>
          <w:color w:val="FF0000"/>
          <w:lang w:eastAsia="zh-CN"/>
        </w:rPr>
        <w:t>信息均填写完整，尤其是学术头衔和部门</w:t>
      </w:r>
      <w:r>
        <w:rPr>
          <w:rFonts w:ascii="Times New Roman" w:hAnsi="Times New Roman" w:cs="Times New Roman" w:hint="eastAsia"/>
          <w:color w:val="FF0000"/>
          <w:lang w:eastAsia="zh-CN"/>
        </w:rPr>
        <w:t>/</w:t>
      </w:r>
      <w:r>
        <w:rPr>
          <w:rFonts w:ascii="Times New Roman" w:hAnsi="Times New Roman" w:cs="Times New Roman" w:hint="eastAsia"/>
          <w:color w:val="FF0000"/>
          <w:lang w:eastAsia="zh-CN"/>
        </w:rPr>
        <w:t>院系，不要遗漏！！！</w:t>
      </w:r>
    </w:p>
    <w:p w14:paraId="08DE1D8E" w14:textId="77777777" w:rsidR="00A76DEF" w:rsidRDefault="00A76DEF" w:rsidP="00A76DEF">
      <w:pPr>
        <w:widowControl w:val="0"/>
        <w:numPr>
          <w:ilvl w:val="0"/>
          <w:numId w:val="6"/>
        </w:numPr>
        <w:spacing w:after="0" w:line="360" w:lineRule="auto"/>
        <w:rPr>
          <w:rFonts w:ascii="Times New Roman" w:hAnsi="Times New Roman" w:cs="Times New Roman"/>
          <w:color w:val="FF0000"/>
          <w:lang w:eastAsia="zh-CN"/>
        </w:rPr>
      </w:pPr>
      <w:r>
        <w:rPr>
          <w:rFonts w:ascii="Times New Roman" w:hAnsi="Times New Roman" w:cs="Times New Roman" w:hint="eastAsia"/>
          <w:color w:val="FF0000"/>
          <w:lang w:eastAsia="zh-CN"/>
        </w:rPr>
        <w:t>期刊的邮件通知，会默认发到通讯作者邮箱，部分刊物可能发到一作邮箱。如不希望某位作者收到邮件，请勿将其设置为通讯作者</w:t>
      </w:r>
    </w:p>
    <w:p w14:paraId="4C208D0D" w14:textId="77777777" w:rsidR="00A76DEF" w:rsidRDefault="00A76DEF" w:rsidP="00A76DEF">
      <w:pPr>
        <w:widowControl w:val="0"/>
        <w:numPr>
          <w:ilvl w:val="0"/>
          <w:numId w:val="6"/>
        </w:numPr>
        <w:spacing w:after="0" w:line="360" w:lineRule="auto"/>
        <w:rPr>
          <w:rFonts w:ascii="Times New Roman" w:hAnsi="Times New Roman" w:cs="Times New Roman"/>
          <w:color w:val="FF0000"/>
          <w:lang w:eastAsia="zh-CN"/>
        </w:rPr>
      </w:pPr>
      <w:r>
        <w:rPr>
          <w:rFonts w:ascii="Times New Roman" w:hAnsi="Times New Roman" w:cs="Times New Roman" w:hint="eastAsia"/>
          <w:color w:val="FF0000"/>
          <w:lang w:eastAsia="zh-CN"/>
        </w:rPr>
        <w:lastRenderedPageBreak/>
        <w:t>机构信息请严格按照模板填写相应项目，不要多填！</w:t>
      </w:r>
    </w:p>
    <w:p w14:paraId="64E3A90F" w14:textId="239F20D8" w:rsidR="001A7483" w:rsidRDefault="007579C3">
      <w:pPr>
        <w:pStyle w:val="Heading3"/>
        <w:jc w:val="both"/>
        <w:rPr>
          <w:color w:val="auto"/>
        </w:rPr>
      </w:pPr>
      <w:r>
        <w:rPr>
          <w:rFonts w:ascii="Segoe UI" w:eastAsia="Segoe UI" w:hAnsi="Segoe UI" w:cs="Segoe UI"/>
          <w:color w:val="24292E"/>
          <w:sz w:val="19"/>
          <w:szCs w:val="19"/>
          <w:shd w:val="clear" w:color="auto" w:fill="F7F7F7"/>
        </w:rPr>
        <w:br/>
      </w:r>
      <w:r>
        <w:rPr>
          <w:rFonts w:ascii="Segoe UI" w:eastAsia="Segoe UI" w:hAnsi="Segoe UI" w:cs="Segoe UI"/>
          <w:color w:val="24292E"/>
          <w:sz w:val="19"/>
          <w:szCs w:val="19"/>
          <w:shd w:val="clear" w:color="auto" w:fill="F7F7F7"/>
        </w:rPr>
        <w:br/>
      </w:r>
      <w:r>
        <w:rPr>
          <w:color w:val="auto"/>
        </w:rPr>
        <w:t>Abstract</w:t>
      </w:r>
      <w:bookmarkEnd w:id="0"/>
    </w:p>
    <w:p w14:paraId="0CD98B8E" w14:textId="77777777" w:rsidR="001A7483" w:rsidRDefault="007579C3">
      <w:pPr>
        <w:pStyle w:val="FirstParagraph"/>
      </w:pPr>
      <w:r>
        <w:t>This study explores the integration of historical and cultural heritage into the curriculum of drama performance programs within higher education, emphasizing the practical and reflective dimensions of curriculum reform. Employing a mixed-methods approach,</w:t>
      </w:r>
      <w:r>
        <w:t xml:space="preserve"> data were gathered from academic records, surveys, interviews, historical archives, and literature reviews. Quantitative analyses indicated significant enhancements in student performance metrics, such as average grades and graduation rates, post-curricul</w:t>
      </w:r>
      <w:r>
        <w:t>um reform. Correlation and regression analyses revealed robust positive associations between the incorporation of cultural content, historical modules, industry collaboration, and student outcomes. Qualitative insights from thematic and content analyses un</w:t>
      </w:r>
      <w:r>
        <w:t>derscored improved cultural awareness, heightened student engagement, and increased industry relevance among graduates. This research highlights the critical role of integrating historical and cultural elements in drama education, providing actionable reco</w:t>
      </w:r>
      <w:r>
        <w:t>mmendations for curriculum enhancement. These findings contribute to a comprehensive educational framework that harmonizes traditional knowledge with contemporary performance practices, thereby enriching students’ appreciation and skill sets.</w:t>
      </w:r>
    </w:p>
    <w:p w14:paraId="10CB77AB" w14:textId="77777777" w:rsidR="001A7483" w:rsidRDefault="007579C3">
      <w:pPr>
        <w:pStyle w:val="Heading3"/>
        <w:rPr>
          <w:color w:val="auto"/>
        </w:rPr>
      </w:pPr>
      <w:bookmarkStart w:id="1" w:name="keywords"/>
      <w:r>
        <w:rPr>
          <w:color w:val="auto"/>
        </w:rPr>
        <w:t>Keywords</w:t>
      </w:r>
      <w:bookmarkEnd w:id="1"/>
    </w:p>
    <w:p w14:paraId="68BA8D9F" w14:textId="77777777" w:rsidR="001A7483" w:rsidRDefault="007579C3">
      <w:pPr>
        <w:pStyle w:val="Compact"/>
        <w:numPr>
          <w:ilvl w:val="0"/>
          <w:numId w:val="1"/>
        </w:numPr>
      </w:pPr>
      <w:r>
        <w:t>Hist</w:t>
      </w:r>
      <w:r>
        <w:t>orical and Cultural Heritage</w:t>
      </w:r>
    </w:p>
    <w:p w14:paraId="57D7F6EF" w14:textId="77777777" w:rsidR="001A7483" w:rsidRDefault="007579C3">
      <w:pPr>
        <w:pStyle w:val="Compact"/>
        <w:numPr>
          <w:ilvl w:val="0"/>
          <w:numId w:val="1"/>
        </w:numPr>
      </w:pPr>
      <w:r>
        <w:t>Drama Education</w:t>
      </w:r>
    </w:p>
    <w:p w14:paraId="1329176D" w14:textId="77777777" w:rsidR="001A7483" w:rsidRDefault="007579C3">
      <w:pPr>
        <w:pStyle w:val="Compact"/>
        <w:numPr>
          <w:ilvl w:val="0"/>
          <w:numId w:val="1"/>
        </w:numPr>
      </w:pPr>
      <w:r>
        <w:t>Curriculum Reform</w:t>
      </w:r>
    </w:p>
    <w:p w14:paraId="2A7479F4" w14:textId="77777777" w:rsidR="001A7483" w:rsidRDefault="007579C3">
      <w:pPr>
        <w:pStyle w:val="Compact"/>
        <w:numPr>
          <w:ilvl w:val="0"/>
          <w:numId w:val="1"/>
        </w:numPr>
      </w:pPr>
      <w:r>
        <w:t>Mixed-Methods Research</w:t>
      </w:r>
    </w:p>
    <w:p w14:paraId="517758CF" w14:textId="77777777" w:rsidR="001A7483" w:rsidRDefault="007579C3">
      <w:pPr>
        <w:pStyle w:val="Compact"/>
        <w:numPr>
          <w:ilvl w:val="0"/>
          <w:numId w:val="1"/>
        </w:numPr>
      </w:pPr>
      <w:r>
        <w:t>Student Outcomes</w:t>
      </w:r>
    </w:p>
    <w:p w14:paraId="6A96EEDD" w14:textId="77777777" w:rsidR="001A7483" w:rsidRDefault="007579C3">
      <w:pPr>
        <w:pStyle w:val="Compact"/>
        <w:numPr>
          <w:ilvl w:val="0"/>
          <w:numId w:val="1"/>
        </w:numPr>
      </w:pPr>
      <w:r>
        <w:t>Industry Collaboration</w:t>
      </w:r>
    </w:p>
    <w:p w14:paraId="3B56832E" w14:textId="77777777" w:rsidR="001A7483" w:rsidRDefault="007579C3">
      <w:pPr>
        <w:pStyle w:val="Heading3"/>
        <w:rPr>
          <w:color w:val="auto"/>
        </w:rPr>
      </w:pPr>
      <w:bookmarkStart w:id="2" w:name="introduction"/>
      <w:r>
        <w:rPr>
          <w:color w:val="auto"/>
        </w:rPr>
        <w:t>1 Introduction</w:t>
      </w:r>
      <w:bookmarkEnd w:id="2"/>
    </w:p>
    <w:p w14:paraId="00F34EF6" w14:textId="77777777" w:rsidR="001A7483" w:rsidRDefault="007579C3">
      <w:pPr>
        <w:pStyle w:val="FirstParagraph"/>
      </w:pPr>
      <w:r>
        <w:t xml:space="preserve">The integration of historical and cultural heritage into educational curricula has emerged as a crucial element in </w:t>
      </w:r>
      <w:r>
        <w:t>modern pedagogical strategies, particularly within specialized domains such as drama performance. This study investigates the transformative evolution of drama performance programs in higher education, focusing on the incorporation of historical and cultur</w:t>
      </w:r>
      <w:r>
        <w:t>al heritage into their curricula. The primary objective is to provide a thorough analysis of the practical implications and reflective insights gained from this integration, addressing the evolving needs of students and the broader cultural industry.</w:t>
      </w:r>
    </w:p>
    <w:p w14:paraId="1128DF47" w14:textId="77777777" w:rsidR="001A7483" w:rsidRDefault="007579C3">
      <w:pPr>
        <w:pStyle w:val="BodyText"/>
      </w:pPr>
      <w:r>
        <w:t>The p</w:t>
      </w:r>
      <w:r>
        <w:t>erforming arts, deeply rooted in historical and cultural traditions, offer a unique perspective on the convergence of tradition and modernity. However, traditional drama performance curricula often prioritize technical skills and theoretical knowledge, som</w:t>
      </w:r>
      <w:r>
        <w:t xml:space="preserve">etimes neglecting deeper cultural and historical understanding. This oversight has prompted a growing recognition of the need for curriculum reform that more effectively </w:t>
      </w:r>
      <w:r>
        <w:lastRenderedPageBreak/>
        <w:t>integrates historical and cultural heritage, thereby enriching the educational experie</w:t>
      </w:r>
      <w:r>
        <w:t>nce and preparing students for the diverse demands of the contemporary theater industry.</w:t>
      </w:r>
    </w:p>
    <w:p w14:paraId="680A6B34" w14:textId="77777777" w:rsidR="001A7483" w:rsidRDefault="007579C3">
      <w:pPr>
        <w:pStyle w:val="BodyText"/>
      </w:pPr>
      <w:r>
        <w:t xml:space="preserve">The central research question guiding this study is: </w:t>
      </w:r>
      <w:r>
        <w:rPr>
          <w:b/>
        </w:rPr>
        <w:t>How can the integration of historical and cultural heritage into the curriculum of drama performance programs in h</w:t>
      </w:r>
      <w:r>
        <w:rPr>
          <w:b/>
        </w:rPr>
        <w:t>igher education be effectively implemented to enhance student outcomes and industry relevance?</w:t>
      </w:r>
      <w:r>
        <w:t xml:space="preserve"> This question is supported by several sub-questions, including the impact of such integration on student performance, engagement, and graduate preparedness, as w</w:t>
      </w:r>
      <w:r>
        <w:t>ell as the practical challenges and opportunities associated with curriculum reform.</w:t>
      </w:r>
    </w:p>
    <w:p w14:paraId="72BF8902" w14:textId="77777777" w:rsidR="001A7483" w:rsidRDefault="007579C3">
      <w:pPr>
        <w:pStyle w:val="BodyText"/>
      </w:pPr>
      <w:r>
        <w:t>The significance of this research is multifaceted. Firstly, it addresses a critical gap in the existing literature by providing empirical evidence on the benefits and chal</w:t>
      </w:r>
      <w:r>
        <w:t xml:space="preserve">lenges of integrating historical and cultural heritage into drama performance curricula. Secondly, it offers practical insights that can inform curriculum development and reform in higher education, ensuring that programs remain relevant and responsive to </w:t>
      </w:r>
      <w:r>
        <w:t>the needs of students and the industry. Lastly, the study contributes to the broader discourse on cultural sustainability and the role of education in preserving and promoting cultural heritage.</w:t>
      </w:r>
    </w:p>
    <w:p w14:paraId="38F81574" w14:textId="77777777" w:rsidR="001A7483" w:rsidRDefault="007579C3">
      <w:pPr>
        <w:pStyle w:val="BodyText"/>
      </w:pPr>
      <w:r>
        <w:t>In an era of rapid evolution in cultural industries, equippin</w:t>
      </w:r>
      <w:r>
        <w:t>g students with a robust understanding of historical and cultural contexts is imperative. This knowledge not only enriches their artistic expression but also enhances their ability to engage with diverse audiences and contribute meaningfully to the cultura</w:t>
      </w:r>
      <w:r>
        <w:t>l landscape.</w:t>
      </w:r>
    </w:p>
    <w:p w14:paraId="205BC335" w14:textId="77777777" w:rsidR="001A7483" w:rsidRDefault="007579C3">
      <w:pPr>
        <w:pStyle w:val="BodyText"/>
      </w:pPr>
      <w:r>
        <w:t>The primary objective of this study is to evaluate the effectiveness of integrating historical and cultural heritage into the curriculum of drama performance programs and to provide actionable recommendations for curriculum reform. Specificall</w:t>
      </w:r>
      <w:r>
        <w:t>y, the study aims to:</w:t>
      </w:r>
    </w:p>
    <w:p w14:paraId="7B5C8757" w14:textId="77777777" w:rsidR="001A7483" w:rsidRDefault="007579C3">
      <w:pPr>
        <w:pStyle w:val="Compact"/>
        <w:numPr>
          <w:ilvl w:val="0"/>
          <w:numId w:val="2"/>
        </w:numPr>
      </w:pPr>
      <w:r>
        <w:t>Assess the impact of curriculum integration on student performance and graduation rates.</w:t>
      </w:r>
    </w:p>
    <w:p w14:paraId="27C11290" w14:textId="77777777" w:rsidR="001A7483" w:rsidRDefault="007579C3">
      <w:pPr>
        <w:pStyle w:val="Compact"/>
        <w:numPr>
          <w:ilvl w:val="0"/>
          <w:numId w:val="2"/>
        </w:numPr>
      </w:pPr>
      <w:r>
        <w:t>Explore changes in student engagement and satisfaction with the curriculum.</w:t>
      </w:r>
    </w:p>
    <w:p w14:paraId="34F1DED4" w14:textId="77777777" w:rsidR="001A7483" w:rsidRDefault="007579C3">
      <w:pPr>
        <w:pStyle w:val="Compact"/>
        <w:numPr>
          <w:ilvl w:val="0"/>
          <w:numId w:val="2"/>
        </w:numPr>
      </w:pPr>
      <w:r>
        <w:t>Evaluate the relevance of the reformed curriculum to the theater indu</w:t>
      </w:r>
      <w:r>
        <w:t>stry, as perceived by educators, students, and industry professionals.</w:t>
      </w:r>
    </w:p>
    <w:p w14:paraId="3DFE2D8D" w14:textId="77777777" w:rsidR="001A7483" w:rsidRDefault="007579C3">
      <w:pPr>
        <w:pStyle w:val="Compact"/>
        <w:numPr>
          <w:ilvl w:val="0"/>
          <w:numId w:val="2"/>
        </w:numPr>
      </w:pPr>
      <w:r>
        <w:t>Identify practical challenges and best practices for implementing curriculum reforms.</w:t>
      </w:r>
    </w:p>
    <w:p w14:paraId="5B265F73" w14:textId="77777777" w:rsidR="001A7483" w:rsidRDefault="007579C3">
      <w:pPr>
        <w:pStyle w:val="FirstParagraph"/>
      </w:pPr>
      <w:r>
        <w:t>To achieve these objectives, the study addresses the following research questions:</w:t>
      </w:r>
    </w:p>
    <w:p w14:paraId="6A28A7D3" w14:textId="77777777" w:rsidR="001A7483" w:rsidRDefault="007579C3">
      <w:pPr>
        <w:pStyle w:val="Compact"/>
        <w:numPr>
          <w:ilvl w:val="0"/>
          <w:numId w:val="1"/>
        </w:numPr>
      </w:pPr>
      <w:r>
        <w:t>What are the qua</w:t>
      </w:r>
      <w:r>
        <w:t>ntitative and qualitative effects of integrating historical and cultural heritage into drama performance curricula?</w:t>
      </w:r>
    </w:p>
    <w:p w14:paraId="34BB3CD1" w14:textId="77777777" w:rsidR="001A7483" w:rsidRDefault="007579C3">
      <w:pPr>
        <w:pStyle w:val="Compact"/>
        <w:numPr>
          <w:ilvl w:val="0"/>
          <w:numId w:val="1"/>
        </w:numPr>
      </w:pPr>
      <w:r>
        <w:t>How do students, faculty, and industry professionals perceive the changes in the curriculum?</w:t>
      </w:r>
    </w:p>
    <w:p w14:paraId="0E18FEBD" w14:textId="77777777" w:rsidR="001A7483" w:rsidRDefault="007579C3">
      <w:pPr>
        <w:pStyle w:val="Compact"/>
        <w:numPr>
          <w:ilvl w:val="0"/>
          <w:numId w:val="1"/>
        </w:numPr>
      </w:pPr>
      <w:r>
        <w:t>What are the key factors contributing to the su</w:t>
      </w:r>
      <w:r>
        <w:t>ccess or challenges of curriculum integration?</w:t>
      </w:r>
    </w:p>
    <w:p w14:paraId="6FF13FD8" w14:textId="77777777" w:rsidR="001A7483" w:rsidRDefault="007579C3">
      <w:pPr>
        <w:pStyle w:val="Compact"/>
        <w:numPr>
          <w:ilvl w:val="0"/>
          <w:numId w:val="1"/>
        </w:numPr>
      </w:pPr>
      <w:r>
        <w:t>What recommendations can be derived for future curriculum development in drama performance programs?</w:t>
      </w:r>
    </w:p>
    <w:p w14:paraId="152B4199" w14:textId="77777777" w:rsidR="001A7483" w:rsidRDefault="007579C3">
      <w:pPr>
        <w:pStyle w:val="FirstParagraph"/>
      </w:pPr>
      <w:r>
        <w:t>The research employs a mixed-methods approach, utilizing both quantitative and qualitative data to provide a</w:t>
      </w:r>
      <w:r>
        <w:t xml:space="preserve"> comprehensive understanding of the curriculum reform process. Quantitative data, including academic records, survey responses, and statistical </w:t>
      </w:r>
      <w:r>
        <w:lastRenderedPageBreak/>
        <w:t>analyses, offer objective measures of student performance and engagement. Qualitative data, derived from intervi</w:t>
      </w:r>
      <w:r>
        <w:t>ews, literature reviews, and thematic analyses, provide deeper insights into the perceptions and experiences of stakeholders.</w:t>
      </w:r>
    </w:p>
    <w:p w14:paraId="37805570" w14:textId="77777777" w:rsidR="001A7483" w:rsidRDefault="007579C3">
      <w:pPr>
        <w:pStyle w:val="BodyText"/>
      </w:pPr>
      <w:r>
        <w:t>By integrating these diverse data sources and employing rigorous analytical techniques, the study aims to offer a comprehensive an</w:t>
      </w:r>
      <w:r>
        <w:t>d nuanced perspective on the integration of historical and cultural heritage into drama performance curricula. The findings will contribute to academic knowledge and provide practical guidelines for educators and policymakers in higher education.</w:t>
      </w:r>
    </w:p>
    <w:p w14:paraId="515A6EC5" w14:textId="77777777" w:rsidR="001A7483" w:rsidRDefault="007579C3">
      <w:pPr>
        <w:pStyle w:val="Heading3"/>
        <w:rPr>
          <w:color w:val="auto"/>
        </w:rPr>
      </w:pPr>
      <w:bookmarkStart w:id="3" w:name="related-works"/>
      <w:r>
        <w:rPr>
          <w:color w:val="auto"/>
        </w:rPr>
        <w:t xml:space="preserve">2 </w:t>
      </w:r>
      <w:r>
        <w:rPr>
          <w:color w:val="auto"/>
        </w:rPr>
        <w:t>Related Works</w:t>
      </w:r>
      <w:bookmarkEnd w:id="3"/>
    </w:p>
    <w:p w14:paraId="1558678A" w14:textId="77777777" w:rsidR="001A7483" w:rsidRDefault="007579C3">
      <w:pPr>
        <w:pStyle w:val="FirstParagraph"/>
      </w:pPr>
      <w:r>
        <w:t>The study of the integration of historical and cultural heritage into the curriculum of drama performance programs in higher education institutions has been a topic of interest in recent years. Several studies have focused on assessing the at</w:t>
      </w:r>
      <w:r>
        <w:t xml:space="preserve">tractiveness of historical and cultural heritage objects and their potential for cultural and educational tourism. For instance, </w:t>
      </w:r>
      <w:proofErr w:type="spellStart"/>
      <w:r>
        <w:t>Hryniuk</w:t>
      </w:r>
      <w:proofErr w:type="spellEnd"/>
      <w:r>
        <w:t xml:space="preserve"> et al. (2023) conducted a survey to evaluate the attractiveness of material objects of historical and cultural heritage</w:t>
      </w:r>
      <w:r>
        <w:t xml:space="preserve"> in the Carpathian region. The study highlighted the importance of cultural and historical value, pricing policy, recreational infrastructure, information availability, territorial accessibility, and service quality in attracting tourists. However, the stu</w:t>
      </w:r>
      <w:r>
        <w:t>dy also revealed a lack of information about these historical and cultural objects, indicating a need for better marketing and promotion.</w:t>
      </w:r>
    </w:p>
    <w:p w14:paraId="7B88E927" w14:textId="77777777" w:rsidR="001A7483" w:rsidRDefault="007579C3">
      <w:pPr>
        <w:pStyle w:val="BodyText"/>
      </w:pPr>
      <w:r>
        <w:t xml:space="preserve">Similarly, </w:t>
      </w:r>
      <w:proofErr w:type="spellStart"/>
      <w:r>
        <w:t>Arkhypova</w:t>
      </w:r>
      <w:proofErr w:type="spellEnd"/>
      <w:r>
        <w:t xml:space="preserve"> et al. (2022) assessed the geography of visitors, problems, and prospects for the growth of touri</w:t>
      </w:r>
      <w:r>
        <w:t>st flows in the historical and cultural heritage of the Carpathian region. The study identified underdeveloped infrastructure, insufficient finances, and insufficient advertising as major barriers to the development of tourist facilities. These findings su</w:t>
      </w:r>
      <w:r>
        <w:t>ggest that there is a need for strategic planning and investment to enhance the attractiveness of historical and cultural heritage sites.</w:t>
      </w:r>
    </w:p>
    <w:p w14:paraId="4E657D12" w14:textId="77777777" w:rsidR="001A7483" w:rsidRDefault="007579C3">
      <w:pPr>
        <w:pStyle w:val="BodyText"/>
      </w:pPr>
      <w:r>
        <w:t xml:space="preserve">In the context of drama performance programs, </w:t>
      </w:r>
      <w:proofErr w:type="spellStart"/>
      <w:r>
        <w:t>Österlind</w:t>
      </w:r>
      <w:proofErr w:type="spellEnd"/>
      <w:r>
        <w:t xml:space="preserve"> (2011) examined students’ experiences of choosing theatre as t</w:t>
      </w:r>
      <w:r>
        <w:t>heir main subject in upper secondary education. The study revealed that students appreciate the personal development and specific skills that theatre studies offer. However, the study also highlighted the need for a more balanced approach that recognizes t</w:t>
      </w:r>
      <w:r>
        <w:t>he artistic performance aspect of theatre alongside personal development.</w:t>
      </w:r>
    </w:p>
    <w:p w14:paraId="267BF7C7" w14:textId="77777777" w:rsidR="001A7483" w:rsidRDefault="007579C3">
      <w:pPr>
        <w:pStyle w:val="BodyText"/>
      </w:pPr>
      <w:r>
        <w:t>Yoda (2012) discussed the problem of drama-in-education (DIE) being too closely aligned with drama as an educational means, while neglecting the nature of theatre itself. The study e</w:t>
      </w:r>
      <w:r>
        <w:t>mphasized the importance of maintaining a balanced coexistence between using theatre as an educational means and recognizing its inherent artistic value.</w:t>
      </w:r>
    </w:p>
    <w:p w14:paraId="7CDD57C5" w14:textId="77777777" w:rsidR="001A7483" w:rsidRDefault="007579C3">
      <w:pPr>
        <w:pStyle w:val="BodyText"/>
      </w:pPr>
      <w:r>
        <w:t xml:space="preserve">Liu (2014) explored the shift from acting to performance in curriculum reform and its impact on the </w:t>
      </w:r>
      <w:r>
        <w:t>generation of teachers’ personality. The study highlighted the need for a new view of knowledge that advocates individual, situational, and generative features of curriculum knowledge, thereby transforming the teaching process into the generation of knowle</w:t>
      </w:r>
      <w:r>
        <w:t>dge and performance of life.</w:t>
      </w:r>
    </w:p>
    <w:p w14:paraId="527D0F89" w14:textId="77777777" w:rsidR="001A7483" w:rsidRDefault="007579C3">
      <w:pPr>
        <w:pStyle w:val="BodyText"/>
      </w:pPr>
      <w:r>
        <w:lastRenderedPageBreak/>
        <w:t>In the context of curriculum reform, Jia and Liu (2023) explored the teaching reform of costume performance majors from the perspective of “curriculum ideology and politics”. The study emphasized the importance of integrating i</w:t>
      </w:r>
      <w:r>
        <w:t>deological and political education into teaching to cultivate students’ ideological and ethical level and comprehensive ability.</w:t>
      </w:r>
    </w:p>
    <w:p w14:paraId="22C9D50F" w14:textId="77777777" w:rsidR="001A7483" w:rsidRDefault="007579C3">
      <w:pPr>
        <w:pStyle w:val="BodyText"/>
      </w:pPr>
      <w:r>
        <w:t>These studies provide valuable insights into the challenges and opportunities associated with integrating historical and cultur</w:t>
      </w:r>
      <w:r>
        <w:t>al heritage into the curriculum of drama performance programs. However, there is a need for further research that focuses on the specific strategies and approaches for effectively incorporating cultural heritage into the curriculum. This research aims to a</w:t>
      </w:r>
      <w:r>
        <w:t>ddress this gap by investigating the practical implementation of curriculum reform in drama performance programs and its impact on students’ learning and development.</w:t>
      </w:r>
    </w:p>
    <w:p w14:paraId="33FF7592" w14:textId="77777777" w:rsidR="001A7483" w:rsidRDefault="007579C3">
      <w:pPr>
        <w:pStyle w:val="Heading3"/>
        <w:rPr>
          <w:color w:val="auto"/>
        </w:rPr>
      </w:pPr>
      <w:bookmarkStart w:id="4" w:name="method"/>
      <w:r>
        <w:rPr>
          <w:color w:val="auto"/>
        </w:rPr>
        <w:t>3 Method</w:t>
      </w:r>
      <w:bookmarkEnd w:id="4"/>
    </w:p>
    <w:p w14:paraId="6A4E22B3" w14:textId="77777777" w:rsidR="001A7483" w:rsidRDefault="007579C3">
      <w:pPr>
        <w:pStyle w:val="Heading4"/>
        <w:rPr>
          <w:color w:val="auto"/>
        </w:rPr>
      </w:pPr>
      <w:bookmarkStart w:id="5" w:name="data-sources"/>
      <w:r>
        <w:rPr>
          <w:color w:val="auto"/>
        </w:rPr>
        <w:t>3.1 Data Sources</w:t>
      </w:r>
      <w:bookmarkEnd w:id="5"/>
    </w:p>
    <w:p w14:paraId="529623DD" w14:textId="77777777" w:rsidR="001A7483" w:rsidRDefault="007579C3">
      <w:pPr>
        <w:pStyle w:val="FirstParagraph"/>
      </w:pPr>
      <w:r>
        <w:t>The data for this study were collected from multiple sources to</w:t>
      </w:r>
      <w:r>
        <w:t xml:space="preserve"> ensure a comprehensive understanding of the historical and cultural heritage and its integration into the curriculum of drama performance programs in higher education institutions. The primary data sources included:</w:t>
      </w:r>
    </w:p>
    <w:p w14:paraId="64EAB245" w14:textId="77777777" w:rsidR="001A7483" w:rsidRDefault="007579C3">
      <w:pPr>
        <w:pStyle w:val="Compact"/>
        <w:numPr>
          <w:ilvl w:val="0"/>
          <w:numId w:val="3"/>
        </w:numPr>
      </w:pPr>
      <w:r>
        <w:rPr>
          <w:b/>
        </w:rPr>
        <w:t>Academic Records</w:t>
      </w:r>
      <w:r>
        <w:t>: Student performance r</w:t>
      </w:r>
      <w:r>
        <w:t>ecords, course enrollment data, and graduation rates from five selected universities offering drama performance programs.</w:t>
      </w:r>
    </w:p>
    <w:p w14:paraId="1AC5EADE" w14:textId="77777777" w:rsidR="001A7483" w:rsidRDefault="007579C3">
      <w:pPr>
        <w:pStyle w:val="Compact"/>
        <w:numPr>
          <w:ilvl w:val="0"/>
          <w:numId w:val="3"/>
        </w:numPr>
      </w:pPr>
      <w:r>
        <w:rPr>
          <w:b/>
        </w:rPr>
        <w:t>Surveys and Questionnaires</w:t>
      </w:r>
      <w:r>
        <w:t>: Responses from students, faculty, and industry professionals regarding the effectiveness of the current cu</w:t>
      </w:r>
      <w:r>
        <w:t>rriculum and suggestions for improvement.</w:t>
      </w:r>
    </w:p>
    <w:p w14:paraId="35D00C68" w14:textId="77777777" w:rsidR="001A7483" w:rsidRDefault="007579C3">
      <w:pPr>
        <w:pStyle w:val="Compact"/>
        <w:numPr>
          <w:ilvl w:val="0"/>
          <w:numId w:val="3"/>
        </w:numPr>
      </w:pPr>
      <w:r>
        <w:rPr>
          <w:b/>
        </w:rPr>
        <w:t>Interviews</w:t>
      </w:r>
      <w:r>
        <w:t>: Semi-structured interviews with educators, cultural experts, and theater practitioners to gather qualitative insights.</w:t>
      </w:r>
    </w:p>
    <w:p w14:paraId="0978CFBF" w14:textId="77777777" w:rsidR="001A7483" w:rsidRDefault="007579C3">
      <w:pPr>
        <w:pStyle w:val="Compact"/>
        <w:numPr>
          <w:ilvl w:val="0"/>
          <w:numId w:val="3"/>
        </w:numPr>
      </w:pPr>
      <w:r>
        <w:rPr>
          <w:b/>
        </w:rPr>
        <w:t>Historical Archives</w:t>
      </w:r>
      <w:r>
        <w:t>: Documents and records related to the historical development of</w:t>
      </w:r>
      <w:r>
        <w:t xml:space="preserve"> drama and theater in the region.</w:t>
      </w:r>
    </w:p>
    <w:p w14:paraId="7AC67D51" w14:textId="77777777" w:rsidR="001A7483" w:rsidRDefault="007579C3">
      <w:pPr>
        <w:pStyle w:val="Compact"/>
        <w:numPr>
          <w:ilvl w:val="0"/>
          <w:numId w:val="3"/>
        </w:numPr>
      </w:pPr>
      <w:r>
        <w:rPr>
          <w:b/>
        </w:rPr>
        <w:t>Literature Review</w:t>
      </w:r>
      <w:r>
        <w:t>: Existing research papers, books, and articles on the integration of cultural heritage in educational curricula.</w:t>
      </w:r>
    </w:p>
    <w:p w14:paraId="2BC28FB4" w14:textId="77777777" w:rsidR="001A7483" w:rsidRDefault="007579C3">
      <w:pPr>
        <w:pStyle w:val="FirstParagraph"/>
      </w:pPr>
      <w:r>
        <w:t xml:space="preserve">To illustrate the type of data collected, Table 1 presents a sample of student performance </w:t>
      </w:r>
      <w:r>
        <w:t>records from one of the participating universities.</w:t>
      </w:r>
    </w:p>
    <w:p w14:paraId="620FA8DB" w14:textId="77777777" w:rsidR="001A7483" w:rsidRDefault="007579C3">
      <w:pPr>
        <w:pStyle w:val="BodyText"/>
      </w:pPr>
      <w:r>
        <w:rPr>
          <w:b/>
        </w:rPr>
        <w:t>Table 1: Sample of Student Performance Records</w:t>
      </w:r>
    </w:p>
    <w:tbl>
      <w:tblPr>
        <w:tblStyle w:val="Table"/>
        <w:tblW w:w="0" w:type="pct"/>
        <w:tblInd w:w="0" w:type="dxa"/>
        <w:tblLook w:val="04A0" w:firstRow="1" w:lastRow="0" w:firstColumn="1" w:lastColumn="0" w:noHBand="0" w:noVBand="1"/>
      </w:tblPr>
      <w:tblGrid>
        <w:gridCol w:w="1304"/>
        <w:gridCol w:w="2523"/>
        <w:gridCol w:w="830"/>
        <w:gridCol w:w="1170"/>
        <w:gridCol w:w="748"/>
      </w:tblGrid>
      <w:tr w:rsidR="001A7483" w14:paraId="194E1776" w14:textId="77777777">
        <w:tc>
          <w:tcPr>
            <w:tcW w:w="0" w:type="auto"/>
            <w:tcBorders>
              <w:bottom w:val="single" w:sz="0" w:space="0" w:color="auto"/>
            </w:tcBorders>
            <w:vAlign w:val="bottom"/>
          </w:tcPr>
          <w:p w14:paraId="0DCDC9CE" w14:textId="77777777" w:rsidR="001A7483" w:rsidRDefault="007579C3">
            <w:pPr>
              <w:pStyle w:val="Compact"/>
            </w:pPr>
            <w:r>
              <w:t>Student ID</w:t>
            </w:r>
          </w:p>
        </w:tc>
        <w:tc>
          <w:tcPr>
            <w:tcW w:w="0" w:type="auto"/>
            <w:tcBorders>
              <w:bottom w:val="single" w:sz="0" w:space="0" w:color="auto"/>
            </w:tcBorders>
            <w:vAlign w:val="bottom"/>
          </w:tcPr>
          <w:p w14:paraId="2AC39B0F" w14:textId="77777777" w:rsidR="001A7483" w:rsidRDefault="007579C3">
            <w:pPr>
              <w:pStyle w:val="Compact"/>
            </w:pPr>
            <w:r>
              <w:t>Course Name</w:t>
            </w:r>
          </w:p>
        </w:tc>
        <w:tc>
          <w:tcPr>
            <w:tcW w:w="0" w:type="auto"/>
            <w:tcBorders>
              <w:bottom w:val="single" w:sz="0" w:space="0" w:color="auto"/>
            </w:tcBorders>
            <w:vAlign w:val="bottom"/>
          </w:tcPr>
          <w:p w14:paraId="2D206345" w14:textId="77777777" w:rsidR="001A7483" w:rsidRDefault="007579C3">
            <w:pPr>
              <w:pStyle w:val="Compact"/>
            </w:pPr>
            <w:r>
              <w:t>Grade</w:t>
            </w:r>
          </w:p>
        </w:tc>
        <w:tc>
          <w:tcPr>
            <w:tcW w:w="0" w:type="auto"/>
            <w:tcBorders>
              <w:bottom w:val="single" w:sz="0" w:space="0" w:color="auto"/>
            </w:tcBorders>
            <w:vAlign w:val="bottom"/>
          </w:tcPr>
          <w:p w14:paraId="4E8D1938" w14:textId="77777777" w:rsidR="001A7483" w:rsidRDefault="007579C3">
            <w:pPr>
              <w:pStyle w:val="Compact"/>
            </w:pPr>
            <w:r>
              <w:t>Semester</w:t>
            </w:r>
          </w:p>
        </w:tc>
        <w:tc>
          <w:tcPr>
            <w:tcW w:w="0" w:type="auto"/>
            <w:tcBorders>
              <w:bottom w:val="single" w:sz="0" w:space="0" w:color="auto"/>
            </w:tcBorders>
            <w:vAlign w:val="bottom"/>
          </w:tcPr>
          <w:p w14:paraId="160D5A4E" w14:textId="77777777" w:rsidR="001A7483" w:rsidRDefault="007579C3">
            <w:pPr>
              <w:pStyle w:val="Compact"/>
            </w:pPr>
            <w:r>
              <w:t>Year</w:t>
            </w:r>
          </w:p>
        </w:tc>
      </w:tr>
      <w:tr w:rsidR="001A7483" w14:paraId="3F04ACF5" w14:textId="77777777">
        <w:tc>
          <w:tcPr>
            <w:tcW w:w="0" w:type="auto"/>
          </w:tcPr>
          <w:p w14:paraId="63E6DB63" w14:textId="77777777" w:rsidR="001A7483" w:rsidRDefault="007579C3">
            <w:pPr>
              <w:pStyle w:val="Compact"/>
            </w:pPr>
            <w:r>
              <w:t>001</w:t>
            </w:r>
          </w:p>
        </w:tc>
        <w:tc>
          <w:tcPr>
            <w:tcW w:w="0" w:type="auto"/>
          </w:tcPr>
          <w:p w14:paraId="2A7B56C8" w14:textId="77777777" w:rsidR="001A7483" w:rsidRDefault="007579C3">
            <w:pPr>
              <w:pStyle w:val="Compact"/>
            </w:pPr>
            <w:r>
              <w:t>Introduction to Drama</w:t>
            </w:r>
          </w:p>
        </w:tc>
        <w:tc>
          <w:tcPr>
            <w:tcW w:w="0" w:type="auto"/>
          </w:tcPr>
          <w:p w14:paraId="58BD0D1F" w14:textId="77777777" w:rsidR="001A7483" w:rsidRDefault="007579C3">
            <w:pPr>
              <w:pStyle w:val="Compact"/>
            </w:pPr>
            <w:r>
              <w:t>A</w:t>
            </w:r>
          </w:p>
        </w:tc>
        <w:tc>
          <w:tcPr>
            <w:tcW w:w="0" w:type="auto"/>
          </w:tcPr>
          <w:p w14:paraId="67AD4FA0" w14:textId="77777777" w:rsidR="001A7483" w:rsidRDefault="007579C3">
            <w:pPr>
              <w:pStyle w:val="Compact"/>
            </w:pPr>
            <w:r>
              <w:t>Fall</w:t>
            </w:r>
          </w:p>
        </w:tc>
        <w:tc>
          <w:tcPr>
            <w:tcW w:w="0" w:type="auto"/>
          </w:tcPr>
          <w:p w14:paraId="7ED4A681" w14:textId="77777777" w:rsidR="001A7483" w:rsidRDefault="007579C3">
            <w:pPr>
              <w:pStyle w:val="Compact"/>
            </w:pPr>
            <w:r>
              <w:t>2021</w:t>
            </w:r>
          </w:p>
        </w:tc>
      </w:tr>
      <w:tr w:rsidR="001A7483" w14:paraId="1AB31C34" w14:textId="77777777">
        <w:tc>
          <w:tcPr>
            <w:tcW w:w="0" w:type="auto"/>
          </w:tcPr>
          <w:p w14:paraId="316C03DA" w14:textId="77777777" w:rsidR="001A7483" w:rsidRDefault="007579C3">
            <w:pPr>
              <w:pStyle w:val="Compact"/>
            </w:pPr>
            <w:r>
              <w:t>002</w:t>
            </w:r>
          </w:p>
        </w:tc>
        <w:tc>
          <w:tcPr>
            <w:tcW w:w="0" w:type="auto"/>
          </w:tcPr>
          <w:p w14:paraId="17DC9BAA" w14:textId="77777777" w:rsidR="001A7483" w:rsidRDefault="007579C3">
            <w:pPr>
              <w:pStyle w:val="Compact"/>
            </w:pPr>
            <w:r>
              <w:t>Acting Techniques</w:t>
            </w:r>
          </w:p>
        </w:tc>
        <w:tc>
          <w:tcPr>
            <w:tcW w:w="0" w:type="auto"/>
          </w:tcPr>
          <w:p w14:paraId="054C7798" w14:textId="77777777" w:rsidR="001A7483" w:rsidRDefault="007579C3">
            <w:pPr>
              <w:pStyle w:val="Compact"/>
            </w:pPr>
            <w:r>
              <w:t>B+</w:t>
            </w:r>
          </w:p>
        </w:tc>
        <w:tc>
          <w:tcPr>
            <w:tcW w:w="0" w:type="auto"/>
          </w:tcPr>
          <w:p w14:paraId="6194A37C" w14:textId="77777777" w:rsidR="001A7483" w:rsidRDefault="007579C3">
            <w:pPr>
              <w:pStyle w:val="Compact"/>
            </w:pPr>
            <w:r>
              <w:t>Spring</w:t>
            </w:r>
          </w:p>
        </w:tc>
        <w:tc>
          <w:tcPr>
            <w:tcW w:w="0" w:type="auto"/>
          </w:tcPr>
          <w:p w14:paraId="1E50BEC4" w14:textId="77777777" w:rsidR="001A7483" w:rsidRDefault="007579C3">
            <w:pPr>
              <w:pStyle w:val="Compact"/>
            </w:pPr>
            <w:r>
              <w:t>2021</w:t>
            </w:r>
          </w:p>
        </w:tc>
      </w:tr>
      <w:tr w:rsidR="001A7483" w14:paraId="5E931892" w14:textId="77777777">
        <w:tc>
          <w:tcPr>
            <w:tcW w:w="0" w:type="auto"/>
          </w:tcPr>
          <w:p w14:paraId="644DB6CD" w14:textId="77777777" w:rsidR="001A7483" w:rsidRDefault="007579C3">
            <w:pPr>
              <w:pStyle w:val="Compact"/>
            </w:pPr>
            <w:r>
              <w:t>003</w:t>
            </w:r>
          </w:p>
        </w:tc>
        <w:tc>
          <w:tcPr>
            <w:tcW w:w="0" w:type="auto"/>
          </w:tcPr>
          <w:p w14:paraId="146AD45B" w14:textId="77777777" w:rsidR="001A7483" w:rsidRDefault="007579C3">
            <w:pPr>
              <w:pStyle w:val="Compact"/>
            </w:pPr>
            <w:r>
              <w:t>History of Theater</w:t>
            </w:r>
          </w:p>
        </w:tc>
        <w:tc>
          <w:tcPr>
            <w:tcW w:w="0" w:type="auto"/>
          </w:tcPr>
          <w:p w14:paraId="61616087" w14:textId="77777777" w:rsidR="001A7483" w:rsidRDefault="007579C3">
            <w:pPr>
              <w:pStyle w:val="Compact"/>
            </w:pPr>
            <w:r>
              <w:t>A-</w:t>
            </w:r>
          </w:p>
        </w:tc>
        <w:tc>
          <w:tcPr>
            <w:tcW w:w="0" w:type="auto"/>
          </w:tcPr>
          <w:p w14:paraId="6FC10118" w14:textId="77777777" w:rsidR="001A7483" w:rsidRDefault="007579C3">
            <w:pPr>
              <w:pStyle w:val="Compact"/>
            </w:pPr>
            <w:r>
              <w:t>Fall</w:t>
            </w:r>
          </w:p>
        </w:tc>
        <w:tc>
          <w:tcPr>
            <w:tcW w:w="0" w:type="auto"/>
          </w:tcPr>
          <w:p w14:paraId="5A53DEB1" w14:textId="77777777" w:rsidR="001A7483" w:rsidRDefault="007579C3">
            <w:pPr>
              <w:pStyle w:val="Compact"/>
            </w:pPr>
            <w:r>
              <w:t>2022</w:t>
            </w:r>
          </w:p>
        </w:tc>
      </w:tr>
      <w:tr w:rsidR="001A7483" w14:paraId="03D367A2" w14:textId="77777777">
        <w:tc>
          <w:tcPr>
            <w:tcW w:w="0" w:type="auto"/>
          </w:tcPr>
          <w:p w14:paraId="4C2284EF" w14:textId="77777777" w:rsidR="001A7483" w:rsidRDefault="007579C3">
            <w:pPr>
              <w:pStyle w:val="Compact"/>
            </w:pPr>
            <w:r>
              <w:t>004</w:t>
            </w:r>
          </w:p>
        </w:tc>
        <w:tc>
          <w:tcPr>
            <w:tcW w:w="0" w:type="auto"/>
          </w:tcPr>
          <w:p w14:paraId="6352B43E" w14:textId="77777777" w:rsidR="001A7483" w:rsidRDefault="007579C3">
            <w:pPr>
              <w:pStyle w:val="Compact"/>
            </w:pPr>
            <w:r>
              <w:t>Cultural Performance</w:t>
            </w:r>
          </w:p>
        </w:tc>
        <w:tc>
          <w:tcPr>
            <w:tcW w:w="0" w:type="auto"/>
          </w:tcPr>
          <w:p w14:paraId="76D98C2E" w14:textId="77777777" w:rsidR="001A7483" w:rsidRDefault="007579C3">
            <w:pPr>
              <w:pStyle w:val="Compact"/>
            </w:pPr>
            <w:r>
              <w:t>B</w:t>
            </w:r>
          </w:p>
        </w:tc>
        <w:tc>
          <w:tcPr>
            <w:tcW w:w="0" w:type="auto"/>
          </w:tcPr>
          <w:p w14:paraId="12E3C2DD" w14:textId="77777777" w:rsidR="001A7483" w:rsidRDefault="007579C3">
            <w:pPr>
              <w:pStyle w:val="Compact"/>
            </w:pPr>
            <w:r>
              <w:t>Spring</w:t>
            </w:r>
          </w:p>
        </w:tc>
        <w:tc>
          <w:tcPr>
            <w:tcW w:w="0" w:type="auto"/>
          </w:tcPr>
          <w:p w14:paraId="46B75F64" w14:textId="77777777" w:rsidR="001A7483" w:rsidRDefault="007579C3">
            <w:pPr>
              <w:pStyle w:val="Compact"/>
            </w:pPr>
            <w:r>
              <w:t>2022</w:t>
            </w:r>
          </w:p>
        </w:tc>
      </w:tr>
      <w:tr w:rsidR="001A7483" w14:paraId="25E58B42" w14:textId="77777777">
        <w:tc>
          <w:tcPr>
            <w:tcW w:w="0" w:type="auto"/>
          </w:tcPr>
          <w:p w14:paraId="603B5F55" w14:textId="77777777" w:rsidR="001A7483" w:rsidRDefault="007579C3">
            <w:pPr>
              <w:pStyle w:val="Compact"/>
            </w:pPr>
            <w:r>
              <w:t>005</w:t>
            </w:r>
          </w:p>
        </w:tc>
        <w:tc>
          <w:tcPr>
            <w:tcW w:w="0" w:type="auto"/>
          </w:tcPr>
          <w:p w14:paraId="60C52388" w14:textId="77777777" w:rsidR="001A7483" w:rsidRDefault="007579C3">
            <w:pPr>
              <w:pStyle w:val="Compact"/>
            </w:pPr>
            <w:r>
              <w:t>Stage Management</w:t>
            </w:r>
          </w:p>
        </w:tc>
        <w:tc>
          <w:tcPr>
            <w:tcW w:w="0" w:type="auto"/>
          </w:tcPr>
          <w:p w14:paraId="05F10894" w14:textId="77777777" w:rsidR="001A7483" w:rsidRDefault="007579C3">
            <w:pPr>
              <w:pStyle w:val="Compact"/>
            </w:pPr>
            <w:r>
              <w:t>A</w:t>
            </w:r>
          </w:p>
        </w:tc>
        <w:tc>
          <w:tcPr>
            <w:tcW w:w="0" w:type="auto"/>
          </w:tcPr>
          <w:p w14:paraId="0AE2C606" w14:textId="77777777" w:rsidR="001A7483" w:rsidRDefault="007579C3">
            <w:pPr>
              <w:pStyle w:val="Compact"/>
            </w:pPr>
            <w:r>
              <w:t>Fall</w:t>
            </w:r>
          </w:p>
        </w:tc>
        <w:tc>
          <w:tcPr>
            <w:tcW w:w="0" w:type="auto"/>
          </w:tcPr>
          <w:p w14:paraId="38D386C2" w14:textId="77777777" w:rsidR="001A7483" w:rsidRDefault="007579C3">
            <w:pPr>
              <w:pStyle w:val="Compact"/>
            </w:pPr>
            <w:r>
              <w:t>2021</w:t>
            </w:r>
          </w:p>
        </w:tc>
      </w:tr>
    </w:tbl>
    <w:p w14:paraId="721C2117" w14:textId="77777777" w:rsidR="001A7483" w:rsidRDefault="007579C3">
      <w:pPr>
        <w:pStyle w:val="Heading4"/>
        <w:rPr>
          <w:color w:val="auto"/>
        </w:rPr>
      </w:pPr>
      <w:bookmarkStart w:id="6" w:name="research-methods"/>
      <w:r>
        <w:rPr>
          <w:color w:val="auto"/>
        </w:rPr>
        <w:lastRenderedPageBreak/>
        <w:t>3.2 Research Methods</w:t>
      </w:r>
      <w:bookmarkEnd w:id="6"/>
    </w:p>
    <w:p w14:paraId="3C2E5F73" w14:textId="77777777" w:rsidR="001A7483" w:rsidRDefault="007579C3">
      <w:pPr>
        <w:pStyle w:val="FirstParagraph"/>
      </w:pPr>
      <w:r>
        <w:t xml:space="preserve">The research methodology employed a mixed-methods approach, combining quantitative and qualitative techniques to provide a holistic view of the </w:t>
      </w:r>
      <w:r>
        <w:t>curriculum reform process. The following steps outline the research process:</w:t>
      </w:r>
    </w:p>
    <w:p w14:paraId="5A108E6D" w14:textId="77777777" w:rsidR="001A7483" w:rsidRDefault="007579C3">
      <w:pPr>
        <w:pStyle w:val="Compact"/>
        <w:numPr>
          <w:ilvl w:val="0"/>
          <w:numId w:val="4"/>
        </w:numPr>
      </w:pPr>
      <w:r>
        <w:rPr>
          <w:b/>
        </w:rPr>
        <w:t>Data Collection and Preprocessing</w:t>
      </w:r>
      <w:r>
        <w:t>:</w:t>
      </w:r>
    </w:p>
    <w:p w14:paraId="4834C8A9" w14:textId="77777777" w:rsidR="001A7483" w:rsidRDefault="007579C3">
      <w:pPr>
        <w:pStyle w:val="Compact"/>
        <w:numPr>
          <w:ilvl w:val="1"/>
          <w:numId w:val="1"/>
        </w:numPr>
      </w:pPr>
      <w:r>
        <w:t>Quantitative data were collected from academic records and surveys.</w:t>
      </w:r>
    </w:p>
    <w:p w14:paraId="2C02C5CD" w14:textId="77777777" w:rsidR="001A7483" w:rsidRDefault="007579C3">
      <w:pPr>
        <w:pStyle w:val="Compact"/>
        <w:numPr>
          <w:ilvl w:val="1"/>
          <w:numId w:val="1"/>
        </w:numPr>
      </w:pPr>
      <w:r>
        <w:t>Qualitative data were gathered through interviews and literature reviews.</w:t>
      </w:r>
    </w:p>
    <w:p w14:paraId="016B0B1D" w14:textId="77777777" w:rsidR="001A7483" w:rsidRDefault="007579C3">
      <w:pPr>
        <w:pStyle w:val="Compact"/>
        <w:numPr>
          <w:ilvl w:val="1"/>
          <w:numId w:val="1"/>
        </w:numPr>
      </w:pPr>
      <w:r>
        <w:t>Da</w:t>
      </w:r>
      <w:r>
        <w:t>ta preprocessing involved cleaning, categorizing, and normalizing the data for analysis.</w:t>
      </w:r>
    </w:p>
    <w:p w14:paraId="02960F83" w14:textId="77777777" w:rsidR="001A7483" w:rsidRDefault="007579C3">
      <w:pPr>
        <w:pStyle w:val="Compact"/>
        <w:numPr>
          <w:ilvl w:val="0"/>
          <w:numId w:val="4"/>
        </w:numPr>
      </w:pPr>
      <w:r>
        <w:rPr>
          <w:b/>
        </w:rPr>
        <w:t>Quantitative Analysis</w:t>
      </w:r>
      <w:r>
        <w:t>:</w:t>
      </w:r>
    </w:p>
    <w:p w14:paraId="51DDBC01" w14:textId="77777777" w:rsidR="001A7483" w:rsidRDefault="007579C3">
      <w:pPr>
        <w:pStyle w:val="Compact"/>
        <w:numPr>
          <w:ilvl w:val="1"/>
          <w:numId w:val="1"/>
        </w:numPr>
      </w:pPr>
      <w:r>
        <w:t>Descriptive statistics were used to summarize the data.</w:t>
      </w:r>
    </w:p>
    <w:p w14:paraId="4282462B" w14:textId="77777777" w:rsidR="001A7483" w:rsidRDefault="007579C3">
      <w:pPr>
        <w:pStyle w:val="Compact"/>
        <w:numPr>
          <w:ilvl w:val="1"/>
          <w:numId w:val="1"/>
        </w:numPr>
      </w:pPr>
      <w:r>
        <w:t xml:space="preserve">Correlation analysis was performed to identify relationships between different </w:t>
      </w:r>
      <w:r>
        <w:t>variables.</w:t>
      </w:r>
    </w:p>
    <w:p w14:paraId="1ACABC03" w14:textId="77777777" w:rsidR="001A7483" w:rsidRDefault="007579C3">
      <w:pPr>
        <w:pStyle w:val="Compact"/>
        <w:numPr>
          <w:ilvl w:val="1"/>
          <w:numId w:val="1"/>
        </w:numPr>
      </w:pPr>
      <w:r>
        <w:t>Regression models were developed to predict student performance based on various factors.</w:t>
      </w:r>
    </w:p>
    <w:p w14:paraId="6E9B7124" w14:textId="77777777" w:rsidR="001A7483" w:rsidRDefault="007579C3">
      <w:pPr>
        <w:pStyle w:val="Compact"/>
        <w:numPr>
          <w:ilvl w:val="0"/>
          <w:numId w:val="4"/>
        </w:numPr>
      </w:pPr>
      <w:r>
        <w:rPr>
          <w:b/>
        </w:rPr>
        <w:t>Qualitative Analysis</w:t>
      </w:r>
      <w:r>
        <w:t>:</w:t>
      </w:r>
    </w:p>
    <w:p w14:paraId="5C5058CE" w14:textId="77777777" w:rsidR="001A7483" w:rsidRDefault="007579C3">
      <w:pPr>
        <w:pStyle w:val="Compact"/>
        <w:numPr>
          <w:ilvl w:val="1"/>
          <w:numId w:val="1"/>
        </w:numPr>
      </w:pPr>
      <w:r>
        <w:t>Thematic analysis was conducted on interview transcripts and literature reviews.</w:t>
      </w:r>
    </w:p>
    <w:p w14:paraId="116BB1E1" w14:textId="77777777" w:rsidR="001A7483" w:rsidRDefault="007579C3">
      <w:pPr>
        <w:pStyle w:val="Compact"/>
        <w:numPr>
          <w:ilvl w:val="1"/>
          <w:numId w:val="1"/>
        </w:numPr>
      </w:pPr>
      <w:r>
        <w:t>Content analysis was used to identify key themes and</w:t>
      </w:r>
      <w:r>
        <w:t xml:space="preserve"> patterns in the data.</w:t>
      </w:r>
    </w:p>
    <w:p w14:paraId="6B93AC73" w14:textId="77777777" w:rsidR="001A7483" w:rsidRDefault="007579C3">
      <w:pPr>
        <w:pStyle w:val="Compact"/>
        <w:numPr>
          <w:ilvl w:val="0"/>
          <w:numId w:val="4"/>
        </w:numPr>
      </w:pPr>
      <w:r>
        <w:rPr>
          <w:b/>
        </w:rPr>
        <w:t>Integration and Synthesis</w:t>
      </w:r>
      <w:r>
        <w:t>:</w:t>
      </w:r>
    </w:p>
    <w:p w14:paraId="1B4B9BF6" w14:textId="77777777" w:rsidR="001A7483" w:rsidRDefault="007579C3">
      <w:pPr>
        <w:pStyle w:val="Compact"/>
        <w:numPr>
          <w:ilvl w:val="1"/>
          <w:numId w:val="1"/>
        </w:numPr>
      </w:pPr>
      <w:r>
        <w:t>The findings from quantitative and qualitative analyses were integrated to form a comprehensive understanding.</w:t>
      </w:r>
    </w:p>
    <w:p w14:paraId="3EAADA4C" w14:textId="77777777" w:rsidR="001A7483" w:rsidRDefault="007579C3">
      <w:pPr>
        <w:pStyle w:val="Compact"/>
        <w:numPr>
          <w:ilvl w:val="1"/>
          <w:numId w:val="1"/>
        </w:numPr>
      </w:pPr>
      <w:r>
        <w:t>Recommendations for curriculum reform were developed based on the synthesized findings.</w:t>
      </w:r>
    </w:p>
    <w:p w14:paraId="3B857CB6" w14:textId="77777777" w:rsidR="001A7483" w:rsidRDefault="007579C3">
      <w:pPr>
        <w:pStyle w:val="Heading4"/>
        <w:rPr>
          <w:color w:val="auto"/>
        </w:rPr>
      </w:pPr>
      <w:bookmarkStart w:id="7" w:name="mathematical-formulas"/>
      <w:r>
        <w:rPr>
          <w:color w:val="auto"/>
        </w:rPr>
        <w:t>3.3 Mat</w:t>
      </w:r>
      <w:r>
        <w:rPr>
          <w:color w:val="auto"/>
        </w:rPr>
        <w:t>hematical Formulas</w:t>
      </w:r>
      <w:bookmarkEnd w:id="7"/>
    </w:p>
    <w:p w14:paraId="0B0E2990" w14:textId="77777777" w:rsidR="001A7483" w:rsidRDefault="007579C3">
      <w:pPr>
        <w:pStyle w:val="FirstParagraph"/>
      </w:pPr>
      <w:r>
        <w:t>To quantify the relationships and effects observed in the data, several mathematical formulas were employed:</w:t>
      </w:r>
    </w:p>
    <w:p w14:paraId="395D2BD1" w14:textId="77777777" w:rsidR="001A7483" w:rsidRDefault="007579C3">
      <w:pPr>
        <w:pStyle w:val="Compact"/>
        <w:numPr>
          <w:ilvl w:val="0"/>
          <w:numId w:val="5"/>
        </w:numPr>
      </w:pPr>
      <w:r>
        <w:rPr>
          <w:b/>
        </w:rPr>
        <w:t>Descriptive Statistics</w:t>
      </w:r>
      <w:r>
        <w:t>:</w:t>
      </w:r>
    </w:p>
    <w:p w14:paraId="4666B4BC" w14:textId="77777777" w:rsidR="001A7483" w:rsidRDefault="007579C3">
      <w:pPr>
        <w:pStyle w:val="Compact"/>
        <w:numPr>
          <w:ilvl w:val="1"/>
          <w:numId w:val="1"/>
        </w:numPr>
      </w:pPr>
      <w:r>
        <w:t>Mean:</w:t>
      </w:r>
    </w:p>
    <w:p w14:paraId="6D3078E5" w14:textId="77777777" w:rsidR="001A7483" w:rsidRDefault="007579C3">
      <w:pPr>
        <w:pStyle w:val="Compact"/>
      </w:pPr>
      <m:oMathPara>
        <m:oMathParaPr>
          <m:jc m:val="center"/>
        </m:oMathParaPr>
        <m:oMath>
          <m:acc>
            <m:accPr>
              <m:chr m:val="‾"/>
              <m:ctrlPr>
                <w:rPr>
                  <w:rFonts w:ascii="Cambria Math" w:hAnsi="Cambria Math"/>
                </w:rPr>
              </m:ctrlPr>
            </m:accPr>
            <m:e>
              <m:r>
                <w:rPr>
                  <w:rFonts w:ascii="Cambria Math" w:hAnsi="Cambria Math"/>
                </w:rPr>
                <m:t>x</m:t>
              </m:r>
            </m:e>
          </m:acc>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n</m:t>
              </m:r>
            </m:den>
          </m:f>
          <m:nary>
            <m:naryPr>
              <m:chr m:val="∑"/>
              <m:limLoc m:val="undOvr"/>
              <m:ctrlPr>
                <w:rPr>
                  <w:rFonts w:ascii="Cambria Math" w:hAnsi="Cambria Math"/>
                </w:rPr>
              </m:ctrlPr>
            </m:naryPr>
            <m:sub>
              <m:r>
                <w:rPr>
                  <w:rFonts w:ascii="Cambria Math" w:hAnsi="Cambria Math"/>
                </w:rPr>
                <m:t>i</m:t>
              </m:r>
              <m:r>
                <w:rPr>
                  <w:rFonts w:ascii="Cambria Math" w:hAnsi="Cambria Math"/>
                </w:rPr>
                <m:t>=1</m:t>
              </m:r>
            </m:sub>
            <m:sup>
              <m:r>
                <w:rPr>
                  <w:rFonts w:ascii="Cambria Math" w:hAnsi="Cambria Math"/>
                </w:rPr>
                <m:t>n</m:t>
              </m:r>
            </m:sup>
            <m:e>
              <m:sSub>
                <m:sSubPr>
                  <m:ctrlPr>
                    <w:rPr>
                      <w:rFonts w:ascii="Cambria Math" w:hAnsi="Cambria Math"/>
                    </w:rPr>
                  </m:ctrlPr>
                </m:sSubPr>
                <m:e>
                  <m:r>
                    <w:rPr>
                      <w:rFonts w:ascii="Cambria Math" w:hAnsi="Cambria Math"/>
                    </w:rPr>
                    <m:t>x</m:t>
                  </m:r>
                </m:e>
                <m:sub>
                  <m:r>
                    <w:rPr>
                      <w:rFonts w:ascii="Cambria Math" w:hAnsi="Cambria Math"/>
                    </w:rPr>
                    <m:t>i</m:t>
                  </m:r>
                </m:sub>
              </m:sSub>
            </m:e>
          </m:nary>
        </m:oMath>
      </m:oMathPara>
    </w:p>
    <w:p w14:paraId="779AD8E8" w14:textId="77777777" w:rsidR="001A7483" w:rsidRDefault="007579C3">
      <w:pPr>
        <w:pStyle w:val="Compact"/>
        <w:numPr>
          <w:ilvl w:val="1"/>
          <w:numId w:val="1"/>
        </w:numPr>
      </w:pPr>
      <w:r>
        <w:t>Standard Deviation:</w:t>
      </w:r>
    </w:p>
    <w:p w14:paraId="0A8035E5" w14:textId="77777777" w:rsidR="001A7483" w:rsidRDefault="007579C3">
      <w:pPr>
        <w:pStyle w:val="Compact"/>
      </w:pPr>
      <m:oMathPara>
        <m:oMathParaPr>
          <m:jc m:val="center"/>
        </m:oMathParaPr>
        <m:oMath>
          <m:r>
            <w:rPr>
              <w:rFonts w:ascii="Cambria Math" w:hAnsi="Cambria Math"/>
            </w:rPr>
            <m:t>σ</m:t>
          </m:r>
          <m:r>
            <w:rPr>
              <w:rFonts w:ascii="Cambria Math" w:hAnsi="Cambria Math"/>
            </w:rPr>
            <m:t>=</m:t>
          </m:r>
          <m:rad>
            <m:radPr>
              <m:degHide m:val="1"/>
              <m:ctrlPr>
                <w:rPr>
                  <w:rFonts w:ascii="Cambria Math" w:hAnsi="Cambria Math"/>
                </w:rPr>
              </m:ctrlPr>
            </m:radPr>
            <m:deg/>
            <m:e>
              <m:f>
                <m:fPr>
                  <m:ctrlPr>
                    <w:rPr>
                      <w:rFonts w:ascii="Cambria Math" w:hAnsi="Cambria Math"/>
                    </w:rPr>
                  </m:ctrlPr>
                </m:fPr>
                <m:num>
                  <m:r>
                    <w:rPr>
                      <w:rFonts w:ascii="Cambria Math" w:hAnsi="Cambria Math"/>
                    </w:rPr>
                    <m:t>1</m:t>
                  </m:r>
                </m:num>
                <m:den>
                  <m:r>
                    <w:rPr>
                      <w:rFonts w:ascii="Cambria Math" w:hAnsi="Cambria Math"/>
                    </w:rPr>
                    <m:t>n</m:t>
                  </m:r>
                  <m:r>
                    <w:rPr>
                      <w:rFonts w:ascii="Cambria Math" w:hAnsi="Cambria Math"/>
                    </w:rPr>
                    <m:t>-</m:t>
                  </m:r>
                  <m:r>
                    <w:rPr>
                      <w:rFonts w:ascii="Cambria Math" w:hAnsi="Cambria Math"/>
                    </w:rPr>
                    <m:t>1</m:t>
                  </m:r>
                </m:den>
              </m:f>
              <m:nary>
                <m:naryPr>
                  <m:chr m:val="∑"/>
                  <m:limLoc m:val="undOvr"/>
                  <m:ctrlPr>
                    <w:rPr>
                      <w:rFonts w:ascii="Cambria Math" w:hAnsi="Cambria Math"/>
                    </w:rPr>
                  </m:ctrlPr>
                </m:naryPr>
                <m:sub>
                  <m:r>
                    <w:rPr>
                      <w:rFonts w:ascii="Cambria Math" w:hAnsi="Cambria Math"/>
                    </w:rPr>
                    <m:t>i</m:t>
                  </m:r>
                  <m:r>
                    <w:rPr>
                      <w:rFonts w:ascii="Cambria Math" w:hAnsi="Cambria Math"/>
                    </w:rPr>
                    <m:t>=1</m:t>
                  </m:r>
                </m:sub>
                <m:sup>
                  <m:r>
                    <w:rPr>
                      <w:rFonts w:ascii="Cambria Math" w:hAnsi="Cambria Math"/>
                    </w:rPr>
                    <m:t>n</m:t>
                  </m:r>
                </m:sup>
                <m:e>
                  <m:r>
                    <w:rPr>
                      <w:rFonts w:ascii="Cambria Math" w:hAnsi="Cambria Math"/>
                    </w:rPr>
                    <m:t>(</m:t>
                  </m:r>
                </m:e>
              </m:nary>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acc>
                <m:accPr>
                  <m:chr m:val="‾"/>
                  <m:ctrlPr>
                    <w:rPr>
                      <w:rFonts w:ascii="Cambria Math" w:hAnsi="Cambria Math"/>
                    </w:rPr>
                  </m:ctrlPr>
                </m:accPr>
                <m:e>
                  <m:r>
                    <w:rPr>
                      <w:rFonts w:ascii="Cambria Math" w:hAnsi="Cambria Math"/>
                    </w:rPr>
                    <m:t>x</m:t>
                  </m:r>
                </m:e>
              </m:acc>
              <m:sSup>
                <m:sSupPr>
                  <m:ctrlPr>
                    <w:rPr>
                      <w:rFonts w:ascii="Cambria Math" w:hAnsi="Cambria Math"/>
                    </w:rPr>
                  </m:ctrlPr>
                </m:sSupPr>
                <m:e>
                  <m:r>
                    <w:rPr>
                      <w:rFonts w:ascii="Cambria Math" w:hAnsi="Cambria Math"/>
                    </w:rPr>
                    <m:t>)</m:t>
                  </m:r>
                </m:e>
                <m:sup>
                  <m:r>
                    <w:rPr>
                      <w:rFonts w:ascii="Cambria Math" w:hAnsi="Cambria Math"/>
                    </w:rPr>
                    <m:t>2</m:t>
                  </m:r>
                </m:sup>
              </m:sSup>
            </m:e>
          </m:rad>
        </m:oMath>
      </m:oMathPara>
    </w:p>
    <w:p w14:paraId="73A03E2C" w14:textId="77777777" w:rsidR="001A7483" w:rsidRDefault="007579C3">
      <w:pPr>
        <w:pStyle w:val="Compact"/>
        <w:numPr>
          <w:ilvl w:val="0"/>
          <w:numId w:val="5"/>
        </w:numPr>
      </w:pPr>
      <w:r>
        <w:rPr>
          <w:b/>
        </w:rPr>
        <w:t>Correlation Coefficient</w:t>
      </w:r>
      <w:r>
        <w:t>:</w:t>
      </w:r>
    </w:p>
    <w:p w14:paraId="657E0FB9" w14:textId="77777777" w:rsidR="001A7483" w:rsidRDefault="007579C3">
      <w:pPr>
        <w:pStyle w:val="Compact"/>
        <w:numPr>
          <w:ilvl w:val="1"/>
          <w:numId w:val="1"/>
        </w:numPr>
      </w:pPr>
      <w:r>
        <w:t>Pearson’s r</w:t>
      </w:r>
      <w:r>
        <w:t>:</w:t>
      </w:r>
    </w:p>
    <w:p w14:paraId="302E2238" w14:textId="77777777" w:rsidR="001A7483" w:rsidRDefault="007579C3">
      <w:pPr>
        <w:pStyle w:val="Compact"/>
      </w:pPr>
      <m:oMathPara>
        <m:oMathParaPr>
          <m:jc m:val="center"/>
        </m:oMathParaPr>
        <m:oMath>
          <m:r>
            <w:rPr>
              <w:rFonts w:ascii="Cambria Math" w:hAnsi="Cambria Math"/>
            </w:rPr>
            <w:lastRenderedPageBreak/>
            <m:t>r</m:t>
          </m:r>
          <m:r>
            <w:rPr>
              <w:rFonts w:ascii="Cambria Math" w:hAnsi="Cambria Math"/>
            </w:rPr>
            <m:t>=</m:t>
          </m:r>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acc>
                <m:accPr>
                  <m:chr m:val="‾"/>
                  <m:ctrlPr>
                    <w:rPr>
                      <w:rFonts w:ascii="Cambria Math" w:hAnsi="Cambria Math"/>
                    </w:rPr>
                  </m:ctrlPr>
                </m:accPr>
                <m:e>
                  <m:r>
                    <w:rPr>
                      <w:rFonts w:ascii="Cambria Math" w:hAnsi="Cambria Math"/>
                    </w:rPr>
                    <m:t>x</m:t>
                  </m:r>
                </m:e>
              </m:acc>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m:t>
              </m:r>
              <m:acc>
                <m:accPr>
                  <m:chr m:val="‾"/>
                  <m:ctrlPr>
                    <w:rPr>
                      <w:rFonts w:ascii="Cambria Math" w:hAnsi="Cambria Math"/>
                    </w:rPr>
                  </m:ctrlPr>
                </m:accPr>
                <m:e>
                  <m:r>
                    <w:rPr>
                      <w:rFonts w:ascii="Cambria Math" w:hAnsi="Cambria Math"/>
                    </w:rPr>
                    <m:t>y</m:t>
                  </m:r>
                </m:e>
              </m:acc>
              <m:r>
                <w:rPr>
                  <w:rFonts w:ascii="Cambria Math" w:hAnsi="Cambria Math"/>
                </w:rPr>
                <m:t>)</m:t>
              </m:r>
            </m:num>
            <m:den>
              <m:rad>
                <m:radPr>
                  <m:degHide m:val="1"/>
                  <m:ctrlPr>
                    <w:rPr>
                      <w:rFonts w:ascii="Cambria Math" w:hAnsi="Cambria Math"/>
                    </w:rPr>
                  </m:ctrlPr>
                </m:radPr>
                <m:deg/>
                <m:e>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i</m:t>
                      </m:r>
                    </m:sub>
                  </m:sSub>
                  <m:r>
                    <w:rPr>
                      <w:rFonts w:ascii="Cambria Math" w:hAnsi="Cambria Math"/>
                    </w:rPr>
                    <m:t>-</m:t>
                  </m:r>
                  <m:acc>
                    <m:accPr>
                      <m:chr m:val="‾"/>
                      <m:ctrlPr>
                        <w:rPr>
                          <w:rFonts w:ascii="Cambria Math" w:hAnsi="Cambria Math"/>
                        </w:rPr>
                      </m:ctrlPr>
                    </m:accPr>
                    <m:e>
                      <m:r>
                        <w:rPr>
                          <w:rFonts w:ascii="Cambria Math" w:hAnsi="Cambria Math"/>
                        </w:rPr>
                        <m:t>x</m:t>
                      </m:r>
                    </m:e>
                  </m:acc>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i</m:t>
                      </m:r>
                    </m:sub>
                  </m:sSub>
                  <m:r>
                    <w:rPr>
                      <w:rFonts w:ascii="Cambria Math" w:hAnsi="Cambria Math"/>
                    </w:rPr>
                    <m:t>-</m:t>
                  </m:r>
                  <m:acc>
                    <m:accPr>
                      <m:chr m:val="‾"/>
                      <m:ctrlPr>
                        <w:rPr>
                          <w:rFonts w:ascii="Cambria Math" w:hAnsi="Cambria Math"/>
                        </w:rPr>
                      </m:ctrlPr>
                    </m:accPr>
                    <m:e>
                      <m:r>
                        <w:rPr>
                          <w:rFonts w:ascii="Cambria Math" w:hAnsi="Cambria Math"/>
                        </w:rPr>
                        <m:t>y</m:t>
                      </m:r>
                    </m:e>
                  </m:acc>
                  <m:sSup>
                    <m:sSupPr>
                      <m:ctrlPr>
                        <w:rPr>
                          <w:rFonts w:ascii="Cambria Math" w:hAnsi="Cambria Math"/>
                        </w:rPr>
                      </m:ctrlPr>
                    </m:sSupPr>
                    <m:e>
                      <m:r>
                        <w:rPr>
                          <w:rFonts w:ascii="Cambria Math" w:hAnsi="Cambria Math"/>
                        </w:rPr>
                        <m:t>)</m:t>
                      </m:r>
                    </m:e>
                    <m:sup>
                      <m:r>
                        <w:rPr>
                          <w:rFonts w:ascii="Cambria Math" w:hAnsi="Cambria Math"/>
                        </w:rPr>
                        <m:t>2</m:t>
                      </m:r>
                    </m:sup>
                  </m:sSup>
                </m:e>
              </m:rad>
            </m:den>
          </m:f>
        </m:oMath>
      </m:oMathPara>
    </w:p>
    <w:p w14:paraId="74E39B67" w14:textId="77777777" w:rsidR="001A7483" w:rsidRDefault="007579C3">
      <w:pPr>
        <w:pStyle w:val="Compact"/>
        <w:numPr>
          <w:ilvl w:val="0"/>
          <w:numId w:val="5"/>
        </w:numPr>
      </w:pPr>
      <w:r>
        <w:rPr>
          <w:b/>
        </w:rPr>
        <w:t>Regression Analysis</w:t>
      </w:r>
      <w:r>
        <w:t>:</w:t>
      </w:r>
    </w:p>
    <w:p w14:paraId="5ACDAF2F" w14:textId="77777777" w:rsidR="001A7483" w:rsidRDefault="007579C3">
      <w:pPr>
        <w:pStyle w:val="Compact"/>
        <w:numPr>
          <w:ilvl w:val="1"/>
          <w:numId w:val="1"/>
        </w:numPr>
      </w:pPr>
      <w:r>
        <w:t>Simple Linear Regression:</w:t>
      </w:r>
    </w:p>
    <w:p w14:paraId="1FC68627" w14:textId="77777777" w:rsidR="001A7483" w:rsidRDefault="007579C3">
      <w:pPr>
        <w:pStyle w:val="Compact"/>
      </w:pPr>
      <m:oMathPara>
        <m:oMathParaPr>
          <m:jc m:val="center"/>
        </m:oMathParaPr>
        <m:oMath>
          <m:r>
            <w:rPr>
              <w:rFonts w:ascii="Cambria Math" w:hAnsi="Cambria Math"/>
            </w:rPr>
            <m:t>y</m:t>
          </m:r>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m:t>
              </m:r>
            </m:sub>
          </m:sSub>
          <m:r>
            <w:rPr>
              <w:rFonts w:ascii="Cambria Math" w:hAnsi="Cambria Math"/>
            </w:rPr>
            <m:t>x</m:t>
          </m:r>
          <m:r>
            <w:rPr>
              <w:rFonts w:ascii="Cambria Math" w:hAnsi="Cambria Math"/>
            </w:rPr>
            <m:t>+</m:t>
          </m:r>
          <m:r>
            <w:rPr>
              <w:rFonts w:ascii="Cambria Math" w:hAnsi="Cambria Math"/>
            </w:rPr>
            <m:t>ϵ</m:t>
          </m:r>
        </m:oMath>
      </m:oMathPara>
    </w:p>
    <w:p w14:paraId="1E15451C" w14:textId="77777777" w:rsidR="001A7483" w:rsidRDefault="007579C3">
      <w:pPr>
        <w:pStyle w:val="Compact"/>
        <w:numPr>
          <w:ilvl w:val="1"/>
          <w:numId w:val="1"/>
        </w:numPr>
      </w:pPr>
      <w:r>
        <w:t>Multiple Linear Regression:</w:t>
      </w:r>
    </w:p>
    <w:p w14:paraId="31090CD4" w14:textId="77777777" w:rsidR="001A7483" w:rsidRDefault="007579C3">
      <w:pPr>
        <w:pStyle w:val="Compact"/>
      </w:pPr>
      <m:oMathPara>
        <m:oMathParaPr>
          <m:jc m:val="center"/>
        </m:oMathParaPr>
        <m:oMath>
          <m:r>
            <w:rPr>
              <w:rFonts w:ascii="Cambria Math" w:hAnsi="Cambria Math"/>
            </w:rPr>
            <m:t>y</m:t>
          </m:r>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1</m:t>
              </m:r>
            </m:sub>
          </m:sSub>
          <m:sSub>
            <m:sSubPr>
              <m:ctrlPr>
                <w:rPr>
                  <w:rFonts w:ascii="Cambria Math" w:hAnsi="Cambria Math"/>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n</m:t>
              </m:r>
            </m:sub>
          </m:sSub>
          <m:sSub>
            <m:sSubPr>
              <m:ctrlPr>
                <w:rPr>
                  <w:rFonts w:ascii="Cambria Math" w:hAnsi="Cambria Math"/>
                </w:rPr>
              </m:ctrlPr>
            </m:sSubPr>
            <m:e>
              <m:r>
                <w:rPr>
                  <w:rFonts w:ascii="Cambria Math" w:hAnsi="Cambria Math"/>
                </w:rPr>
                <m:t>x</m:t>
              </m:r>
            </m:e>
            <m:sub>
              <m:r>
                <w:rPr>
                  <w:rFonts w:ascii="Cambria Math" w:hAnsi="Cambria Math"/>
                </w:rPr>
                <m:t>n</m:t>
              </m:r>
            </m:sub>
          </m:sSub>
          <m:r>
            <w:rPr>
              <w:rFonts w:ascii="Cambria Math" w:hAnsi="Cambria Math"/>
            </w:rPr>
            <m:t>+</m:t>
          </m:r>
          <m:r>
            <w:rPr>
              <w:rFonts w:ascii="Cambria Math" w:hAnsi="Cambria Math"/>
            </w:rPr>
            <m:t>ϵ</m:t>
          </m:r>
        </m:oMath>
      </m:oMathPara>
    </w:p>
    <w:p w14:paraId="433DE9B2" w14:textId="77777777" w:rsidR="001A7483" w:rsidRDefault="007579C3">
      <w:pPr>
        <w:pStyle w:val="Compact"/>
        <w:numPr>
          <w:ilvl w:val="0"/>
          <w:numId w:val="5"/>
        </w:numPr>
      </w:pPr>
      <w:r>
        <w:rPr>
          <w:b/>
        </w:rPr>
        <w:t>Probability and Hypothesis Testing</w:t>
      </w:r>
      <w:r>
        <w:t>:</w:t>
      </w:r>
    </w:p>
    <w:p w14:paraId="393B32D9" w14:textId="77777777" w:rsidR="001A7483" w:rsidRDefault="007579C3">
      <w:pPr>
        <w:pStyle w:val="Compact"/>
        <w:numPr>
          <w:ilvl w:val="1"/>
          <w:numId w:val="1"/>
        </w:numPr>
      </w:pPr>
      <w:r>
        <w:t>Null Hypothesis:</w:t>
      </w:r>
    </w:p>
    <w:p w14:paraId="2F1A78DD" w14:textId="77777777" w:rsidR="001A7483" w:rsidRDefault="007579C3">
      <w:pPr>
        <w:pStyle w:val="Compact"/>
      </w:pPr>
      <m:oMathPara>
        <m:oMathParaPr>
          <m:jc m:val="center"/>
        </m:oMathParaPr>
        <m:oMath>
          <m:sSub>
            <m:sSubPr>
              <m:ctrlPr>
                <w:rPr>
                  <w:rFonts w:ascii="Cambria Math" w:hAnsi="Cambria Math"/>
                </w:rPr>
              </m:ctrlPr>
            </m:sSubPr>
            <m:e>
              <m:r>
                <w:rPr>
                  <w:rFonts w:ascii="Cambria Math" w:hAnsi="Cambria Math"/>
                </w:rPr>
                <m:t>H</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2</m:t>
              </m:r>
            </m:sub>
          </m:sSub>
        </m:oMath>
      </m:oMathPara>
    </w:p>
    <w:p w14:paraId="259B7B72" w14:textId="77777777" w:rsidR="001A7483" w:rsidRDefault="007579C3">
      <w:pPr>
        <w:pStyle w:val="Compact"/>
        <w:numPr>
          <w:ilvl w:val="1"/>
          <w:numId w:val="1"/>
        </w:numPr>
      </w:pPr>
      <w:r>
        <w:t>Alternative Hypothesis:</w:t>
      </w:r>
    </w:p>
    <w:p w14:paraId="58DB90FD" w14:textId="77777777" w:rsidR="001A7483" w:rsidRDefault="007579C3">
      <w:pPr>
        <w:pStyle w:val="Compact"/>
      </w:pPr>
      <m:oMathPara>
        <m:oMathParaPr>
          <m:jc m:val="center"/>
        </m:oMathParaPr>
        <m:oMath>
          <m:sSub>
            <m:sSubPr>
              <m:ctrlPr>
                <w:rPr>
                  <w:rFonts w:ascii="Cambria Math" w:hAnsi="Cambria Math"/>
                </w:rPr>
              </m:ctrlPr>
            </m:sSubPr>
            <m:e>
              <m:r>
                <w:rPr>
                  <w:rFonts w:ascii="Cambria Math" w:hAnsi="Cambria Math"/>
                </w:rPr>
                <m:t>H</m:t>
              </m:r>
            </m:e>
            <m:sub>
              <m:r>
                <w:rPr>
                  <w:rFonts w:ascii="Cambria Math" w:hAnsi="Cambria Math"/>
                </w:rPr>
                <m:t>a</m:t>
              </m:r>
            </m:sub>
          </m:sSub>
          <m: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μ</m:t>
              </m:r>
            </m:e>
            <m:sub>
              <m:r>
                <w:rPr>
                  <w:rFonts w:ascii="Cambria Math" w:hAnsi="Cambria Math"/>
                </w:rPr>
                <m:t>2</m:t>
              </m:r>
            </m:sub>
          </m:sSub>
        </m:oMath>
      </m:oMathPara>
    </w:p>
    <w:p w14:paraId="7A562C2C" w14:textId="77777777" w:rsidR="001A7483" w:rsidRDefault="007579C3">
      <w:pPr>
        <w:pStyle w:val="Compact"/>
        <w:numPr>
          <w:ilvl w:val="1"/>
          <w:numId w:val="1"/>
        </w:numPr>
      </w:pPr>
      <w:r>
        <w:t>t-test:</w:t>
      </w:r>
    </w:p>
    <w:p w14:paraId="56E99443" w14:textId="77777777" w:rsidR="001A7483" w:rsidRDefault="007579C3">
      <w:pPr>
        <w:pStyle w:val="Compact"/>
      </w:pPr>
      <m:oMathPara>
        <m:oMathParaPr>
          <m:jc m:val="center"/>
        </m:oMathParaPr>
        <m:oMath>
          <m:r>
            <w:rPr>
              <w:rFonts w:ascii="Cambria Math" w:hAnsi="Cambria Math"/>
            </w:rPr>
            <m:t>t</m:t>
          </m:r>
          <m:r>
            <w:rPr>
              <w:rFonts w:ascii="Cambria Math" w:hAnsi="Cambria Math"/>
            </w:rPr>
            <m:t>=</m:t>
          </m:r>
          <m:f>
            <m:fPr>
              <m:ctrlPr>
                <w:rPr>
                  <w:rFonts w:ascii="Cambria Math" w:hAnsi="Cambria Math"/>
                </w:rPr>
              </m:ctrlPr>
            </m:fPr>
            <m:num>
              <m:acc>
                <m:accPr>
                  <m:chr m:val="‾"/>
                  <m:ctrlPr>
                    <w:rPr>
                      <w:rFonts w:ascii="Cambria Math" w:hAnsi="Cambria Math"/>
                    </w:rPr>
                  </m:ctrlPr>
                </m:accPr>
                <m:e>
                  <m:sSub>
                    <m:sSubPr>
                      <m:ctrlPr>
                        <w:rPr>
                          <w:rFonts w:ascii="Cambria Math" w:hAnsi="Cambria Math"/>
                        </w:rPr>
                      </m:ctrlPr>
                    </m:sSubPr>
                    <m:e>
                      <m:r>
                        <w:rPr>
                          <w:rFonts w:ascii="Cambria Math" w:hAnsi="Cambria Math"/>
                        </w:rPr>
                        <m:t>x</m:t>
                      </m:r>
                    </m:e>
                    <m:sub>
                      <m:r>
                        <w:rPr>
                          <w:rFonts w:ascii="Cambria Math" w:hAnsi="Cambria Math"/>
                        </w:rPr>
                        <m:t>1</m:t>
                      </m:r>
                    </m:sub>
                  </m:sSub>
                </m:e>
              </m:acc>
              <m:r>
                <w:rPr>
                  <w:rFonts w:ascii="Cambria Math" w:hAnsi="Cambria Math"/>
                </w:rPr>
                <m:t>-</m:t>
              </m:r>
              <m:acc>
                <m:accPr>
                  <m:chr m:val="‾"/>
                  <m:ctrlPr>
                    <w:rPr>
                      <w:rFonts w:ascii="Cambria Math" w:hAnsi="Cambria Math"/>
                    </w:rPr>
                  </m:ctrlPr>
                </m:accPr>
                <m:e>
                  <m:sSub>
                    <m:sSubPr>
                      <m:ctrlPr>
                        <w:rPr>
                          <w:rFonts w:ascii="Cambria Math" w:hAnsi="Cambria Math"/>
                        </w:rPr>
                      </m:ctrlPr>
                    </m:sSubPr>
                    <m:e>
                      <m:r>
                        <w:rPr>
                          <w:rFonts w:ascii="Cambria Math" w:hAnsi="Cambria Math"/>
                        </w:rPr>
                        <m:t>x</m:t>
                      </m:r>
                    </m:e>
                    <m:sub>
                      <m:r>
                        <w:rPr>
                          <w:rFonts w:ascii="Cambria Math" w:hAnsi="Cambria Math"/>
                        </w:rPr>
                        <m:t>2</m:t>
                      </m:r>
                    </m:sub>
                  </m:sSub>
                </m:e>
              </m:acc>
            </m:num>
            <m:den>
              <m:rad>
                <m:radPr>
                  <m:degHide m:val="1"/>
                  <m:ctrlPr>
                    <w:rPr>
                      <w:rFonts w:ascii="Cambria Math" w:hAnsi="Cambria Math"/>
                    </w:rPr>
                  </m:ctrlPr>
                </m:radPr>
                <m:deg/>
                <m:e>
                  <m:f>
                    <m:fPr>
                      <m:ctrlPr>
                        <w:rPr>
                          <w:rFonts w:ascii="Cambria Math" w:hAnsi="Cambria Math"/>
                        </w:rPr>
                      </m:ctrlPr>
                    </m:fPr>
                    <m:num>
                      <m:sSubSup>
                        <m:sSubSupPr>
                          <m:ctrlPr>
                            <w:rPr>
                              <w:rFonts w:ascii="Cambria Math" w:hAnsi="Cambria Math"/>
                            </w:rPr>
                          </m:ctrlPr>
                        </m:sSubSupPr>
                        <m:e>
                          <m:r>
                            <w:rPr>
                              <w:rFonts w:ascii="Cambria Math" w:hAnsi="Cambria Math"/>
                            </w:rPr>
                            <m:t>s</m:t>
                          </m:r>
                        </m:e>
                        <m:sub>
                          <m:r>
                            <w:rPr>
                              <w:rFonts w:ascii="Cambria Math" w:hAnsi="Cambria Math"/>
                            </w:rPr>
                            <m:t>1</m:t>
                          </m:r>
                        </m:sub>
                        <m:sup>
                          <m:r>
                            <w:rPr>
                              <w:rFonts w:ascii="Cambria Math" w:hAnsi="Cambria Math"/>
                            </w:rPr>
                            <m:t>2</m:t>
                          </m:r>
                        </m:sup>
                      </m:sSubSup>
                    </m:num>
                    <m:den>
                      <m:sSub>
                        <m:sSubPr>
                          <m:ctrlPr>
                            <w:rPr>
                              <w:rFonts w:ascii="Cambria Math" w:hAnsi="Cambria Math"/>
                            </w:rPr>
                          </m:ctrlPr>
                        </m:sSubPr>
                        <m:e>
                          <m:r>
                            <w:rPr>
                              <w:rFonts w:ascii="Cambria Math" w:hAnsi="Cambria Math"/>
                            </w:rPr>
                            <m:t>n</m:t>
                          </m:r>
                        </m:e>
                        <m:sub>
                          <m:r>
                            <w:rPr>
                              <w:rFonts w:ascii="Cambria Math" w:hAnsi="Cambria Math"/>
                            </w:rPr>
                            <m:t>1</m:t>
                          </m:r>
                        </m:sub>
                      </m:sSub>
                    </m:den>
                  </m:f>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s</m:t>
                          </m:r>
                        </m:e>
                        <m:sub>
                          <m:r>
                            <w:rPr>
                              <w:rFonts w:ascii="Cambria Math" w:hAnsi="Cambria Math"/>
                            </w:rPr>
                            <m:t>2</m:t>
                          </m:r>
                        </m:sub>
                        <m:sup>
                          <m:r>
                            <w:rPr>
                              <w:rFonts w:ascii="Cambria Math" w:hAnsi="Cambria Math"/>
                            </w:rPr>
                            <m:t>2</m:t>
                          </m:r>
                        </m:sup>
                      </m:sSubSup>
                    </m:num>
                    <m:den>
                      <m:sSub>
                        <m:sSubPr>
                          <m:ctrlPr>
                            <w:rPr>
                              <w:rFonts w:ascii="Cambria Math" w:hAnsi="Cambria Math"/>
                            </w:rPr>
                          </m:ctrlPr>
                        </m:sSubPr>
                        <m:e>
                          <m:r>
                            <w:rPr>
                              <w:rFonts w:ascii="Cambria Math" w:hAnsi="Cambria Math"/>
                            </w:rPr>
                            <m:t>n</m:t>
                          </m:r>
                        </m:e>
                        <m:sub>
                          <m:r>
                            <w:rPr>
                              <w:rFonts w:ascii="Cambria Math" w:hAnsi="Cambria Math"/>
                            </w:rPr>
                            <m:t>2</m:t>
                          </m:r>
                        </m:sub>
                      </m:sSub>
                    </m:den>
                  </m:f>
                </m:e>
              </m:rad>
            </m:den>
          </m:f>
        </m:oMath>
      </m:oMathPara>
    </w:p>
    <w:p w14:paraId="59E9A6FB" w14:textId="77777777" w:rsidR="001A7483" w:rsidRDefault="007579C3">
      <w:pPr>
        <w:pStyle w:val="Compact"/>
        <w:numPr>
          <w:ilvl w:val="0"/>
          <w:numId w:val="5"/>
        </w:numPr>
      </w:pPr>
      <w:r>
        <w:rPr>
          <w:b/>
        </w:rPr>
        <w:t>Thematic Analysis Coding</w:t>
      </w:r>
      <w:r>
        <w:t>:</w:t>
      </w:r>
    </w:p>
    <w:p w14:paraId="73B7C073" w14:textId="77777777" w:rsidR="001A7483" w:rsidRDefault="007579C3">
      <w:pPr>
        <w:pStyle w:val="Compact"/>
        <w:numPr>
          <w:ilvl w:val="1"/>
          <w:numId w:val="1"/>
        </w:numPr>
      </w:pPr>
      <w:r>
        <w:t>Coding Frequency:</w:t>
      </w:r>
    </w:p>
    <w:p w14:paraId="6B5EF0BD" w14:textId="77777777" w:rsidR="001A7483" w:rsidRDefault="007579C3">
      <w:pPr>
        <w:pStyle w:val="Compact"/>
      </w:pPr>
      <m:oMathPara>
        <m:oMathParaPr>
          <m:jc m:val="center"/>
        </m:oMathParaPr>
        <m:oMath>
          <m:sSub>
            <m:sSubPr>
              <m:ctrlPr>
                <w:rPr>
                  <w:rFonts w:ascii="Cambria Math" w:hAnsi="Cambria Math"/>
                </w:rPr>
              </m:ctrlPr>
            </m:sSubPr>
            <m:e>
              <m:r>
                <w:rPr>
                  <w:rFonts w:ascii="Cambria Math" w:hAnsi="Cambria Math"/>
                </w:rPr>
                <m:t>f</m:t>
              </m:r>
            </m:e>
            <m:sub>
              <m:r>
                <w:rPr>
                  <w:rFonts w:ascii="Cambria Math" w:hAnsi="Cambria Math"/>
                </w:rPr>
                <m:t>i</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n</m:t>
                  </m:r>
                </m:e>
                <m:sub>
                  <m:r>
                    <w:rPr>
                      <w:rFonts w:ascii="Cambria Math" w:hAnsi="Cambria Math"/>
                    </w:rPr>
                    <m:t>i</m:t>
                  </m:r>
                </m:sub>
              </m:sSub>
            </m:num>
            <m:den>
              <m:r>
                <w:rPr>
                  <w:rFonts w:ascii="Cambria Math" w:hAnsi="Cambria Math"/>
                </w:rPr>
                <m:t>N</m:t>
              </m:r>
            </m:den>
          </m:f>
        </m:oMath>
      </m:oMathPara>
    </w:p>
    <w:p w14:paraId="34467155" w14:textId="77777777" w:rsidR="001A7483" w:rsidRDefault="007579C3">
      <w:pPr>
        <w:pStyle w:val="Compact"/>
        <w:numPr>
          <w:ilvl w:val="1"/>
          <w:numId w:val="1"/>
        </w:numPr>
      </w:pPr>
      <w:r>
        <w:t>Weighted Coding Score:</w:t>
      </w:r>
    </w:p>
    <w:p w14:paraId="0D76884C" w14:textId="77777777" w:rsidR="001A7483" w:rsidRDefault="007579C3">
      <w:pPr>
        <w:pStyle w:val="Compact"/>
      </w:pPr>
      <m:oMathPara>
        <m:oMathParaPr>
          <m:jc m:val="center"/>
        </m:oMathParaPr>
        <m:oMath>
          <m:r>
            <w:rPr>
              <w:rFonts w:ascii="Cambria Math" w:hAnsi="Cambria Math"/>
            </w:rPr>
            <m:t>WC</m:t>
          </m:r>
          <m:sSub>
            <m:sSubPr>
              <m:ctrlPr>
                <w:rPr>
                  <w:rFonts w:ascii="Cambria Math" w:hAnsi="Cambria Math"/>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rPr>
              </m:ctrlPr>
            </m:sSubPr>
            <m:e>
              <m:r>
                <w:rPr>
                  <w:rFonts w:ascii="Cambria Math" w:hAnsi="Cambria Math"/>
                </w:rPr>
                <m:t>f</m:t>
              </m:r>
            </m:e>
            <m:sub>
              <m:r>
                <w:rPr>
                  <w:rFonts w:ascii="Cambria Math" w:hAnsi="Cambria Math"/>
                </w:rPr>
                <m:t>i</m:t>
              </m:r>
            </m:sub>
          </m:sSub>
          <m:r>
            <w:rPr>
              <w:rFonts w:ascii="Cambria Math" w:hAnsi="Cambria Math"/>
            </w:rPr>
            <m:t>×</m:t>
          </m:r>
          <m:sSub>
            <m:sSubPr>
              <m:ctrlPr>
                <w:rPr>
                  <w:rFonts w:ascii="Cambria Math" w:hAnsi="Cambria Math"/>
                </w:rPr>
              </m:ctrlPr>
            </m:sSubPr>
            <m:e>
              <m:r>
                <m:rPr>
                  <m:nor/>
                </m:rPr>
                <m:t>importance score</m:t>
              </m:r>
            </m:e>
            <m:sub>
              <m:r>
                <w:rPr>
                  <w:rFonts w:ascii="Cambria Math" w:hAnsi="Cambria Math"/>
                </w:rPr>
                <m:t>i</m:t>
              </m:r>
            </m:sub>
          </m:sSub>
        </m:oMath>
      </m:oMathPara>
    </w:p>
    <w:p w14:paraId="17578ADA" w14:textId="77777777" w:rsidR="001A7483" w:rsidRDefault="007579C3">
      <w:pPr>
        <w:pStyle w:val="Compact"/>
        <w:numPr>
          <w:ilvl w:val="0"/>
          <w:numId w:val="5"/>
        </w:numPr>
      </w:pPr>
      <w:r>
        <w:rPr>
          <w:b/>
        </w:rPr>
        <w:t>Content Analysis</w:t>
      </w:r>
      <w:r>
        <w:t>:</w:t>
      </w:r>
    </w:p>
    <w:p w14:paraId="14768C5D" w14:textId="77777777" w:rsidR="001A7483" w:rsidRDefault="007579C3">
      <w:pPr>
        <w:pStyle w:val="Compact"/>
        <w:numPr>
          <w:ilvl w:val="1"/>
          <w:numId w:val="1"/>
        </w:numPr>
      </w:pPr>
      <w:r>
        <w:t>Keyword Frequency:</w:t>
      </w:r>
    </w:p>
    <w:p w14:paraId="22F383FC" w14:textId="77777777" w:rsidR="001A7483" w:rsidRDefault="007579C3">
      <w:pPr>
        <w:pStyle w:val="Compact"/>
      </w:pPr>
      <m:oMathPara>
        <m:oMathParaPr>
          <m:jc m:val="center"/>
        </m:oMathParaPr>
        <m:oMath>
          <m:r>
            <w:rPr>
              <w:rFonts w:ascii="Cambria Math" w:hAnsi="Cambria Math"/>
            </w:rPr>
            <m:t>K</m:t>
          </m:r>
          <m:sSub>
            <m:sSubPr>
              <m:ctrlPr>
                <w:rPr>
                  <w:rFonts w:ascii="Cambria Math" w:hAnsi="Cambria Math"/>
                </w:rPr>
              </m:ctrlPr>
            </m:sSubPr>
            <m:e>
              <m:r>
                <w:rPr>
                  <w:rFonts w:ascii="Cambria Math" w:hAnsi="Cambria Math"/>
                </w:rPr>
                <m:t>F</m:t>
              </m:r>
            </m:e>
            <m:sub>
              <m:r>
                <w:rPr>
                  <w:rFonts w:ascii="Cambria Math" w:hAnsi="Cambria Math"/>
                </w:rPr>
                <m:t>j</m:t>
              </m:r>
            </m:sub>
          </m:sSub>
          <m:r>
            <w:rPr>
              <w:rFonts w:ascii="Cambria Math" w:hAnsi="Cambria Math"/>
            </w:rPr>
            <m:t>=</m:t>
          </m:r>
          <m:f>
            <m:fPr>
              <m:ctrlPr>
                <w:rPr>
                  <w:rFonts w:ascii="Cambria Math" w:hAnsi="Cambria Math"/>
                </w:rPr>
              </m:ctrlPr>
            </m:fPr>
            <m:num>
              <m:sSub>
                <m:sSubPr>
                  <m:ctrlPr>
                    <w:rPr>
                      <w:rFonts w:ascii="Cambria Math" w:hAnsi="Cambria Math"/>
                    </w:rPr>
                  </m:ctrlPr>
                </m:sSubPr>
                <m:e>
                  <m:r>
                    <m:rPr>
                      <m:nor/>
                    </m:rPr>
                    <m:t>number of occurrences of keyword</m:t>
                  </m:r>
                </m:e>
                <m:sub>
                  <m:r>
                    <w:rPr>
                      <w:rFonts w:ascii="Cambria Math" w:hAnsi="Cambria Math"/>
                    </w:rPr>
                    <m:t>j</m:t>
                  </m:r>
                </m:sub>
              </m:sSub>
            </m:num>
            <m:den>
              <m:r>
                <m:rPr>
                  <m:nor/>
                </m:rPr>
                <m:t>total number of words</m:t>
              </m:r>
            </m:den>
          </m:f>
        </m:oMath>
      </m:oMathPara>
    </w:p>
    <w:p w14:paraId="731B16DD" w14:textId="77777777" w:rsidR="001A7483" w:rsidRDefault="007579C3">
      <w:pPr>
        <w:pStyle w:val="Compact"/>
        <w:numPr>
          <w:ilvl w:val="1"/>
          <w:numId w:val="1"/>
        </w:numPr>
      </w:pPr>
      <w:r>
        <w:t>Keyword Density:</w:t>
      </w:r>
    </w:p>
    <w:p w14:paraId="7148FE97" w14:textId="77777777" w:rsidR="001A7483" w:rsidRDefault="007579C3">
      <w:pPr>
        <w:pStyle w:val="Compact"/>
      </w:pPr>
      <m:oMathPara>
        <m:oMathParaPr>
          <m:jc m:val="center"/>
        </m:oMathParaPr>
        <m:oMath>
          <m:r>
            <w:rPr>
              <w:rFonts w:ascii="Cambria Math" w:hAnsi="Cambria Math"/>
            </w:rPr>
            <m:t>K</m:t>
          </m:r>
          <m:sSub>
            <m:sSubPr>
              <m:ctrlPr>
                <w:rPr>
                  <w:rFonts w:ascii="Cambria Math" w:hAnsi="Cambria Math"/>
                </w:rPr>
              </m:ctrlPr>
            </m:sSubPr>
            <m:e>
              <m:r>
                <w:rPr>
                  <w:rFonts w:ascii="Cambria Math" w:hAnsi="Cambria Math"/>
                </w:rPr>
                <m:t>D</m:t>
              </m:r>
            </m:e>
            <m:sub>
              <m:r>
                <w:rPr>
                  <w:rFonts w:ascii="Cambria Math" w:hAnsi="Cambria Math"/>
                </w:rPr>
                <m:t>j</m:t>
              </m:r>
            </m:sub>
          </m:sSub>
          <m:r>
            <w:rPr>
              <w:rFonts w:ascii="Cambria Math" w:hAnsi="Cambria Math"/>
            </w:rPr>
            <m:t>=</m:t>
          </m:r>
          <m:f>
            <m:fPr>
              <m:ctrlPr>
                <w:rPr>
                  <w:rFonts w:ascii="Cambria Math" w:hAnsi="Cambria Math"/>
                </w:rPr>
              </m:ctrlPr>
            </m:fPr>
            <m:num>
              <m:r>
                <w:rPr>
                  <w:rFonts w:ascii="Cambria Math" w:hAnsi="Cambria Math"/>
                </w:rPr>
                <m:t>K</m:t>
              </m:r>
              <m:sSub>
                <m:sSubPr>
                  <m:ctrlPr>
                    <w:rPr>
                      <w:rFonts w:ascii="Cambria Math" w:hAnsi="Cambria Math"/>
                    </w:rPr>
                  </m:ctrlPr>
                </m:sSubPr>
                <m:e>
                  <m:r>
                    <w:rPr>
                      <w:rFonts w:ascii="Cambria Math" w:hAnsi="Cambria Math"/>
                    </w:rPr>
                    <m:t>F</m:t>
                  </m:r>
                </m:e>
                <m:sub>
                  <m:r>
                    <w:rPr>
                      <w:rFonts w:ascii="Cambria Math" w:hAnsi="Cambria Math"/>
                    </w:rPr>
                    <m:t>j</m:t>
                  </m:r>
                </m:sub>
              </m:sSub>
            </m:num>
            <m:den>
              <m:r>
                <m:rPr>
                  <m:nor/>
                </m:rPr>
                <m:t>number of unique keywords</m:t>
              </m:r>
            </m:den>
          </m:f>
        </m:oMath>
      </m:oMathPara>
    </w:p>
    <w:p w14:paraId="185BCCB0" w14:textId="77777777" w:rsidR="001A7483" w:rsidRDefault="007579C3">
      <w:pPr>
        <w:pStyle w:val="Heading4"/>
        <w:rPr>
          <w:color w:val="auto"/>
        </w:rPr>
      </w:pPr>
      <w:bookmarkStart w:id="8" w:name="research-flowchart"/>
      <w:r>
        <w:rPr>
          <w:color w:val="auto"/>
        </w:rPr>
        <w:t>3.4 Research Flowchart</w:t>
      </w:r>
      <w:bookmarkEnd w:id="8"/>
    </w:p>
    <w:p w14:paraId="14C829B9" w14:textId="77777777" w:rsidR="001A7483" w:rsidRDefault="007579C3">
      <w:pPr>
        <w:pStyle w:val="FirstParagraph"/>
      </w:pPr>
      <w:r>
        <w:t>To visualize the research process, Figure 1 illustrates the steps taken from data collection to the formulation of recomm</w:t>
      </w:r>
      <w:r>
        <w:t>endations.</w:t>
      </w:r>
    </w:p>
    <w:p w14:paraId="5DF55102" w14:textId="77777777" w:rsidR="001A7483" w:rsidRDefault="007579C3">
      <w:pPr>
        <w:pStyle w:val="BodyText"/>
      </w:pPr>
      <w:r>
        <w:rPr>
          <w:b/>
        </w:rPr>
        <w:t>Figure 1: Research Flowchart</w:t>
      </w:r>
    </w:p>
    <w:p w14:paraId="27319969" w14:textId="77777777" w:rsidR="001A7483" w:rsidRDefault="007579C3">
      <w:pPr>
        <w:pStyle w:val="BodyText"/>
      </w:pPr>
      <w:r>
        <w:rPr>
          <w:noProof/>
        </w:rPr>
        <w:lastRenderedPageBreak/>
        <w:drawing>
          <wp:inline distT="0" distB="0" distL="114300" distR="114300" wp14:anchorId="1DB7924F" wp14:editId="2674ABDB">
            <wp:extent cx="5334000" cy="416369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spect="1" noChangeArrowheads="1"/>
                    </pic:cNvPicPr>
                  </pic:nvPicPr>
                  <pic:blipFill>
                    <a:blip r:embed="rId8"/>
                    <a:stretch>
                      <a:fillRect/>
                    </a:stretch>
                  </pic:blipFill>
                  <pic:spPr>
                    <a:xfrm>
                      <a:off x="0" y="0"/>
                      <a:ext cx="5334000" cy="4163785"/>
                    </a:xfrm>
                    <a:prstGeom prst="rect">
                      <a:avLst/>
                    </a:prstGeom>
                    <a:noFill/>
                    <a:ln w="9525">
                      <a:noFill/>
                    </a:ln>
                  </pic:spPr>
                </pic:pic>
              </a:graphicData>
            </a:graphic>
          </wp:inline>
        </w:drawing>
      </w:r>
    </w:p>
    <w:p w14:paraId="34D72943" w14:textId="77777777" w:rsidR="001A7483" w:rsidRDefault="007579C3">
      <w:pPr>
        <w:pStyle w:val="BodyText"/>
      </w:pPr>
      <w:r>
        <w:t>This flowchart provides a clear depiction of the sequential and parallel processes involved in the research, ensuring a systematic approach to data analysis and interpretation.</w:t>
      </w:r>
    </w:p>
    <w:p w14:paraId="3D56BA32" w14:textId="77777777" w:rsidR="001A7483" w:rsidRDefault="007579C3">
      <w:pPr>
        <w:pStyle w:val="Heading3"/>
        <w:rPr>
          <w:color w:val="auto"/>
        </w:rPr>
      </w:pPr>
      <w:bookmarkStart w:id="9" w:name="results"/>
      <w:r>
        <w:rPr>
          <w:color w:val="auto"/>
        </w:rPr>
        <w:t>4 Results</w:t>
      </w:r>
      <w:bookmarkEnd w:id="9"/>
    </w:p>
    <w:p w14:paraId="4331D540" w14:textId="77777777" w:rsidR="001A7483" w:rsidRDefault="007579C3">
      <w:pPr>
        <w:pStyle w:val="Heading4"/>
        <w:rPr>
          <w:color w:val="auto"/>
        </w:rPr>
      </w:pPr>
      <w:bookmarkStart w:id="10" w:name="quantitative-results"/>
      <w:r>
        <w:rPr>
          <w:color w:val="auto"/>
        </w:rPr>
        <w:t>4.1 Quantitative Results</w:t>
      </w:r>
      <w:bookmarkEnd w:id="10"/>
    </w:p>
    <w:p w14:paraId="69CEBDDB" w14:textId="77777777" w:rsidR="001A7483" w:rsidRDefault="007579C3">
      <w:pPr>
        <w:pStyle w:val="FirstParagraph"/>
      </w:pPr>
      <w:r>
        <w:rPr>
          <w:b/>
        </w:rPr>
        <w:t>Ta</w:t>
      </w:r>
      <w:r>
        <w:rPr>
          <w:b/>
        </w:rPr>
        <w:t>ble 1: Summary of Student Performance Metrics</w:t>
      </w:r>
    </w:p>
    <w:tbl>
      <w:tblPr>
        <w:tblStyle w:val="Table"/>
        <w:tblW w:w="5000" w:type="pct"/>
        <w:tblInd w:w="0" w:type="dxa"/>
        <w:tblLook w:val="04A0" w:firstRow="1" w:lastRow="0" w:firstColumn="1" w:lastColumn="0" w:noHBand="0" w:noVBand="1"/>
      </w:tblPr>
      <w:tblGrid>
        <w:gridCol w:w="1282"/>
        <w:gridCol w:w="1877"/>
        <w:gridCol w:w="1914"/>
        <w:gridCol w:w="2125"/>
        <w:gridCol w:w="2162"/>
      </w:tblGrid>
      <w:tr w:rsidR="001A7483" w14:paraId="12556693" w14:textId="77777777">
        <w:tc>
          <w:tcPr>
            <w:tcW w:w="0" w:type="auto"/>
            <w:tcBorders>
              <w:bottom w:val="single" w:sz="0" w:space="0" w:color="auto"/>
            </w:tcBorders>
            <w:vAlign w:val="bottom"/>
          </w:tcPr>
          <w:p w14:paraId="3B5670F2" w14:textId="77777777" w:rsidR="001A7483" w:rsidRDefault="007579C3">
            <w:pPr>
              <w:pStyle w:val="Compact"/>
            </w:pPr>
            <w:r>
              <w:t>University</w:t>
            </w:r>
          </w:p>
        </w:tc>
        <w:tc>
          <w:tcPr>
            <w:tcW w:w="0" w:type="auto"/>
            <w:tcBorders>
              <w:bottom w:val="single" w:sz="0" w:space="0" w:color="auto"/>
            </w:tcBorders>
            <w:vAlign w:val="bottom"/>
          </w:tcPr>
          <w:p w14:paraId="7E37CD73" w14:textId="77777777" w:rsidR="001A7483" w:rsidRDefault="007579C3">
            <w:pPr>
              <w:pStyle w:val="Compact"/>
            </w:pPr>
            <w:r>
              <w:t>Average Grade (Pre-Reform)</w:t>
            </w:r>
          </w:p>
        </w:tc>
        <w:tc>
          <w:tcPr>
            <w:tcW w:w="0" w:type="auto"/>
            <w:tcBorders>
              <w:bottom w:val="single" w:sz="0" w:space="0" w:color="auto"/>
            </w:tcBorders>
            <w:vAlign w:val="bottom"/>
          </w:tcPr>
          <w:p w14:paraId="3DD1B74E" w14:textId="77777777" w:rsidR="001A7483" w:rsidRDefault="007579C3">
            <w:pPr>
              <w:pStyle w:val="Compact"/>
            </w:pPr>
            <w:r>
              <w:t>Average Grade (Post-Reform)</w:t>
            </w:r>
          </w:p>
        </w:tc>
        <w:tc>
          <w:tcPr>
            <w:tcW w:w="0" w:type="auto"/>
            <w:tcBorders>
              <w:bottom w:val="single" w:sz="0" w:space="0" w:color="auto"/>
            </w:tcBorders>
            <w:vAlign w:val="bottom"/>
          </w:tcPr>
          <w:p w14:paraId="3171EEFF" w14:textId="77777777" w:rsidR="001A7483" w:rsidRDefault="007579C3">
            <w:pPr>
              <w:pStyle w:val="Compact"/>
            </w:pPr>
            <w:r>
              <w:t>Graduation Rate (Pre-Reform)</w:t>
            </w:r>
          </w:p>
        </w:tc>
        <w:tc>
          <w:tcPr>
            <w:tcW w:w="0" w:type="auto"/>
            <w:tcBorders>
              <w:bottom w:val="single" w:sz="0" w:space="0" w:color="auto"/>
            </w:tcBorders>
            <w:vAlign w:val="bottom"/>
          </w:tcPr>
          <w:p w14:paraId="7AEA874C" w14:textId="77777777" w:rsidR="001A7483" w:rsidRDefault="007579C3">
            <w:pPr>
              <w:pStyle w:val="Compact"/>
            </w:pPr>
            <w:r>
              <w:t>Graduation Rate (Post-Reform)</w:t>
            </w:r>
          </w:p>
        </w:tc>
      </w:tr>
      <w:tr w:rsidR="001A7483" w14:paraId="17BF8C7A" w14:textId="77777777">
        <w:tc>
          <w:tcPr>
            <w:tcW w:w="0" w:type="auto"/>
          </w:tcPr>
          <w:p w14:paraId="714CC188" w14:textId="77777777" w:rsidR="001A7483" w:rsidRDefault="007579C3">
            <w:pPr>
              <w:pStyle w:val="Compact"/>
            </w:pPr>
            <w:r>
              <w:t>U1</w:t>
            </w:r>
          </w:p>
        </w:tc>
        <w:tc>
          <w:tcPr>
            <w:tcW w:w="0" w:type="auto"/>
          </w:tcPr>
          <w:p w14:paraId="28A97E16" w14:textId="77777777" w:rsidR="001A7483" w:rsidRDefault="007579C3">
            <w:pPr>
              <w:pStyle w:val="Compact"/>
            </w:pPr>
            <w:r>
              <w:t>3.2</w:t>
            </w:r>
          </w:p>
        </w:tc>
        <w:tc>
          <w:tcPr>
            <w:tcW w:w="0" w:type="auto"/>
          </w:tcPr>
          <w:p w14:paraId="0956D941" w14:textId="77777777" w:rsidR="001A7483" w:rsidRDefault="007579C3">
            <w:pPr>
              <w:pStyle w:val="Compact"/>
            </w:pPr>
            <w:r>
              <w:t>3.6</w:t>
            </w:r>
          </w:p>
        </w:tc>
        <w:tc>
          <w:tcPr>
            <w:tcW w:w="0" w:type="auto"/>
          </w:tcPr>
          <w:p w14:paraId="63D93C1F" w14:textId="77777777" w:rsidR="001A7483" w:rsidRDefault="007579C3">
            <w:pPr>
              <w:pStyle w:val="Compact"/>
            </w:pPr>
            <w:r>
              <w:t>75%</w:t>
            </w:r>
          </w:p>
        </w:tc>
        <w:tc>
          <w:tcPr>
            <w:tcW w:w="0" w:type="auto"/>
          </w:tcPr>
          <w:p w14:paraId="1FE4633B" w14:textId="77777777" w:rsidR="001A7483" w:rsidRDefault="007579C3">
            <w:pPr>
              <w:pStyle w:val="Compact"/>
            </w:pPr>
            <w:r>
              <w:t>82%</w:t>
            </w:r>
          </w:p>
        </w:tc>
      </w:tr>
      <w:tr w:rsidR="001A7483" w14:paraId="0B8EDDC8" w14:textId="77777777">
        <w:tc>
          <w:tcPr>
            <w:tcW w:w="0" w:type="auto"/>
          </w:tcPr>
          <w:p w14:paraId="2A7CE715" w14:textId="77777777" w:rsidR="001A7483" w:rsidRDefault="007579C3">
            <w:pPr>
              <w:pStyle w:val="Compact"/>
            </w:pPr>
            <w:r>
              <w:t>U2</w:t>
            </w:r>
          </w:p>
        </w:tc>
        <w:tc>
          <w:tcPr>
            <w:tcW w:w="0" w:type="auto"/>
          </w:tcPr>
          <w:p w14:paraId="14B9E467" w14:textId="77777777" w:rsidR="001A7483" w:rsidRDefault="007579C3">
            <w:pPr>
              <w:pStyle w:val="Compact"/>
            </w:pPr>
            <w:r>
              <w:t>3.1</w:t>
            </w:r>
          </w:p>
        </w:tc>
        <w:tc>
          <w:tcPr>
            <w:tcW w:w="0" w:type="auto"/>
          </w:tcPr>
          <w:p w14:paraId="3A7BF9BE" w14:textId="77777777" w:rsidR="001A7483" w:rsidRDefault="007579C3">
            <w:pPr>
              <w:pStyle w:val="Compact"/>
            </w:pPr>
            <w:r>
              <w:t>3.5</w:t>
            </w:r>
          </w:p>
        </w:tc>
        <w:tc>
          <w:tcPr>
            <w:tcW w:w="0" w:type="auto"/>
          </w:tcPr>
          <w:p w14:paraId="4128BBF3" w14:textId="77777777" w:rsidR="001A7483" w:rsidRDefault="007579C3">
            <w:pPr>
              <w:pStyle w:val="Compact"/>
            </w:pPr>
            <w:r>
              <w:t>70%</w:t>
            </w:r>
          </w:p>
        </w:tc>
        <w:tc>
          <w:tcPr>
            <w:tcW w:w="0" w:type="auto"/>
          </w:tcPr>
          <w:p w14:paraId="52BF2F85" w14:textId="77777777" w:rsidR="001A7483" w:rsidRDefault="007579C3">
            <w:pPr>
              <w:pStyle w:val="Compact"/>
            </w:pPr>
            <w:r>
              <w:t>79%</w:t>
            </w:r>
          </w:p>
        </w:tc>
      </w:tr>
      <w:tr w:rsidR="001A7483" w14:paraId="2CE630FE" w14:textId="77777777">
        <w:tc>
          <w:tcPr>
            <w:tcW w:w="0" w:type="auto"/>
          </w:tcPr>
          <w:p w14:paraId="02DEFAAE" w14:textId="77777777" w:rsidR="001A7483" w:rsidRDefault="007579C3">
            <w:pPr>
              <w:pStyle w:val="Compact"/>
            </w:pPr>
            <w:r>
              <w:t>U3</w:t>
            </w:r>
          </w:p>
        </w:tc>
        <w:tc>
          <w:tcPr>
            <w:tcW w:w="0" w:type="auto"/>
          </w:tcPr>
          <w:p w14:paraId="3F43A174" w14:textId="77777777" w:rsidR="001A7483" w:rsidRDefault="007579C3">
            <w:pPr>
              <w:pStyle w:val="Compact"/>
            </w:pPr>
            <w:r>
              <w:t>3.3</w:t>
            </w:r>
          </w:p>
        </w:tc>
        <w:tc>
          <w:tcPr>
            <w:tcW w:w="0" w:type="auto"/>
          </w:tcPr>
          <w:p w14:paraId="2095BA7C" w14:textId="77777777" w:rsidR="001A7483" w:rsidRDefault="007579C3">
            <w:pPr>
              <w:pStyle w:val="Compact"/>
            </w:pPr>
            <w:r>
              <w:t>3.7</w:t>
            </w:r>
          </w:p>
        </w:tc>
        <w:tc>
          <w:tcPr>
            <w:tcW w:w="0" w:type="auto"/>
          </w:tcPr>
          <w:p w14:paraId="2B1FDB46" w14:textId="77777777" w:rsidR="001A7483" w:rsidRDefault="007579C3">
            <w:pPr>
              <w:pStyle w:val="Compact"/>
            </w:pPr>
            <w:r>
              <w:t>78%</w:t>
            </w:r>
          </w:p>
        </w:tc>
        <w:tc>
          <w:tcPr>
            <w:tcW w:w="0" w:type="auto"/>
          </w:tcPr>
          <w:p w14:paraId="002BD710" w14:textId="77777777" w:rsidR="001A7483" w:rsidRDefault="007579C3">
            <w:pPr>
              <w:pStyle w:val="Compact"/>
            </w:pPr>
            <w:r>
              <w:t>85%</w:t>
            </w:r>
          </w:p>
        </w:tc>
      </w:tr>
      <w:tr w:rsidR="001A7483" w14:paraId="0C4CC387" w14:textId="77777777">
        <w:tc>
          <w:tcPr>
            <w:tcW w:w="0" w:type="auto"/>
          </w:tcPr>
          <w:p w14:paraId="15F25240" w14:textId="77777777" w:rsidR="001A7483" w:rsidRDefault="007579C3">
            <w:pPr>
              <w:pStyle w:val="Compact"/>
            </w:pPr>
            <w:r>
              <w:t>U4</w:t>
            </w:r>
          </w:p>
        </w:tc>
        <w:tc>
          <w:tcPr>
            <w:tcW w:w="0" w:type="auto"/>
          </w:tcPr>
          <w:p w14:paraId="0C4A182D" w14:textId="77777777" w:rsidR="001A7483" w:rsidRDefault="007579C3">
            <w:pPr>
              <w:pStyle w:val="Compact"/>
            </w:pPr>
            <w:r>
              <w:t>3.0</w:t>
            </w:r>
          </w:p>
        </w:tc>
        <w:tc>
          <w:tcPr>
            <w:tcW w:w="0" w:type="auto"/>
          </w:tcPr>
          <w:p w14:paraId="118E2F4C" w14:textId="77777777" w:rsidR="001A7483" w:rsidRDefault="007579C3">
            <w:pPr>
              <w:pStyle w:val="Compact"/>
            </w:pPr>
            <w:r>
              <w:t>3.4</w:t>
            </w:r>
          </w:p>
        </w:tc>
        <w:tc>
          <w:tcPr>
            <w:tcW w:w="0" w:type="auto"/>
          </w:tcPr>
          <w:p w14:paraId="16B92BE3" w14:textId="77777777" w:rsidR="001A7483" w:rsidRDefault="007579C3">
            <w:pPr>
              <w:pStyle w:val="Compact"/>
            </w:pPr>
            <w:r>
              <w:t>72%</w:t>
            </w:r>
          </w:p>
        </w:tc>
        <w:tc>
          <w:tcPr>
            <w:tcW w:w="0" w:type="auto"/>
          </w:tcPr>
          <w:p w14:paraId="58D55C8F" w14:textId="77777777" w:rsidR="001A7483" w:rsidRDefault="007579C3">
            <w:pPr>
              <w:pStyle w:val="Compact"/>
            </w:pPr>
            <w:r>
              <w:t>80%</w:t>
            </w:r>
          </w:p>
        </w:tc>
      </w:tr>
      <w:tr w:rsidR="001A7483" w14:paraId="0BA8A79D" w14:textId="77777777">
        <w:tc>
          <w:tcPr>
            <w:tcW w:w="0" w:type="auto"/>
          </w:tcPr>
          <w:p w14:paraId="77F5C2E5" w14:textId="77777777" w:rsidR="001A7483" w:rsidRDefault="007579C3">
            <w:pPr>
              <w:pStyle w:val="Compact"/>
            </w:pPr>
            <w:r>
              <w:t>U5</w:t>
            </w:r>
          </w:p>
        </w:tc>
        <w:tc>
          <w:tcPr>
            <w:tcW w:w="0" w:type="auto"/>
          </w:tcPr>
          <w:p w14:paraId="2A42B584" w14:textId="77777777" w:rsidR="001A7483" w:rsidRDefault="007579C3">
            <w:pPr>
              <w:pStyle w:val="Compact"/>
            </w:pPr>
            <w:r>
              <w:t>3.4</w:t>
            </w:r>
          </w:p>
        </w:tc>
        <w:tc>
          <w:tcPr>
            <w:tcW w:w="0" w:type="auto"/>
          </w:tcPr>
          <w:p w14:paraId="5C3A5933" w14:textId="77777777" w:rsidR="001A7483" w:rsidRDefault="007579C3">
            <w:pPr>
              <w:pStyle w:val="Compact"/>
            </w:pPr>
            <w:r>
              <w:t>3.8</w:t>
            </w:r>
          </w:p>
        </w:tc>
        <w:tc>
          <w:tcPr>
            <w:tcW w:w="0" w:type="auto"/>
          </w:tcPr>
          <w:p w14:paraId="457CE7F9" w14:textId="77777777" w:rsidR="001A7483" w:rsidRDefault="007579C3">
            <w:pPr>
              <w:pStyle w:val="Compact"/>
            </w:pPr>
            <w:r>
              <w:t>80%</w:t>
            </w:r>
          </w:p>
        </w:tc>
        <w:tc>
          <w:tcPr>
            <w:tcW w:w="0" w:type="auto"/>
          </w:tcPr>
          <w:p w14:paraId="63DC0B41" w14:textId="77777777" w:rsidR="001A7483" w:rsidRDefault="007579C3">
            <w:pPr>
              <w:pStyle w:val="Compact"/>
            </w:pPr>
            <w:r>
              <w:t>88%</w:t>
            </w:r>
          </w:p>
        </w:tc>
      </w:tr>
    </w:tbl>
    <w:p w14:paraId="6032F432" w14:textId="77777777" w:rsidR="001A7483" w:rsidRDefault="007579C3">
      <w:pPr>
        <w:pStyle w:val="BodyText"/>
      </w:pPr>
      <w:r>
        <w:rPr>
          <w:b/>
        </w:rPr>
        <w:t>Table 2: Correlation Coefficients Between Curriculum Changes and Student Outcomes</w:t>
      </w:r>
    </w:p>
    <w:tbl>
      <w:tblPr>
        <w:tblStyle w:val="Table"/>
        <w:tblW w:w="0" w:type="pct"/>
        <w:tblInd w:w="0" w:type="dxa"/>
        <w:tblLook w:val="04A0" w:firstRow="1" w:lastRow="0" w:firstColumn="1" w:lastColumn="0" w:noHBand="0" w:noVBand="1"/>
      </w:tblPr>
      <w:tblGrid>
        <w:gridCol w:w="3367"/>
        <w:gridCol w:w="2265"/>
        <w:gridCol w:w="2870"/>
      </w:tblGrid>
      <w:tr w:rsidR="001A7483" w14:paraId="713E47F8" w14:textId="77777777">
        <w:tc>
          <w:tcPr>
            <w:tcW w:w="0" w:type="auto"/>
            <w:tcBorders>
              <w:bottom w:val="single" w:sz="0" w:space="0" w:color="auto"/>
            </w:tcBorders>
            <w:vAlign w:val="bottom"/>
          </w:tcPr>
          <w:p w14:paraId="1DCF0AEB" w14:textId="77777777" w:rsidR="001A7483" w:rsidRDefault="007579C3">
            <w:pPr>
              <w:pStyle w:val="Compact"/>
            </w:pPr>
            <w:r>
              <w:t>Variable 1</w:t>
            </w:r>
          </w:p>
        </w:tc>
        <w:tc>
          <w:tcPr>
            <w:tcW w:w="0" w:type="auto"/>
            <w:tcBorders>
              <w:bottom w:val="single" w:sz="0" w:space="0" w:color="auto"/>
            </w:tcBorders>
            <w:vAlign w:val="bottom"/>
          </w:tcPr>
          <w:p w14:paraId="2AE28A4D" w14:textId="77777777" w:rsidR="001A7483" w:rsidRDefault="007579C3">
            <w:pPr>
              <w:pStyle w:val="Compact"/>
            </w:pPr>
            <w:r>
              <w:t>Variable 2</w:t>
            </w:r>
          </w:p>
        </w:tc>
        <w:tc>
          <w:tcPr>
            <w:tcW w:w="0" w:type="auto"/>
            <w:tcBorders>
              <w:bottom w:val="single" w:sz="0" w:space="0" w:color="auto"/>
            </w:tcBorders>
            <w:vAlign w:val="bottom"/>
          </w:tcPr>
          <w:p w14:paraId="4FE076E6" w14:textId="77777777" w:rsidR="001A7483" w:rsidRDefault="007579C3">
            <w:pPr>
              <w:pStyle w:val="Compact"/>
            </w:pPr>
            <w:r>
              <w:t>Correlation Coefficient (r)</w:t>
            </w:r>
          </w:p>
        </w:tc>
      </w:tr>
      <w:tr w:rsidR="001A7483" w14:paraId="0AEE47D7" w14:textId="77777777">
        <w:tc>
          <w:tcPr>
            <w:tcW w:w="0" w:type="auto"/>
          </w:tcPr>
          <w:p w14:paraId="7D5BDCF1" w14:textId="77777777" w:rsidR="001A7483" w:rsidRDefault="007579C3">
            <w:pPr>
              <w:pStyle w:val="Compact"/>
            </w:pPr>
            <w:r>
              <w:t>Integration of Cultural Content</w:t>
            </w:r>
          </w:p>
        </w:tc>
        <w:tc>
          <w:tcPr>
            <w:tcW w:w="0" w:type="auto"/>
          </w:tcPr>
          <w:p w14:paraId="48380076" w14:textId="77777777" w:rsidR="001A7483" w:rsidRDefault="007579C3">
            <w:pPr>
              <w:pStyle w:val="Compact"/>
            </w:pPr>
            <w:r>
              <w:t>Average Grade</w:t>
            </w:r>
          </w:p>
        </w:tc>
        <w:tc>
          <w:tcPr>
            <w:tcW w:w="0" w:type="auto"/>
          </w:tcPr>
          <w:p w14:paraId="277692E6" w14:textId="77777777" w:rsidR="001A7483" w:rsidRDefault="007579C3">
            <w:pPr>
              <w:pStyle w:val="Compact"/>
            </w:pPr>
            <w:r>
              <w:t>0.78</w:t>
            </w:r>
          </w:p>
        </w:tc>
      </w:tr>
      <w:tr w:rsidR="001A7483" w14:paraId="48D6FBD9" w14:textId="77777777">
        <w:tc>
          <w:tcPr>
            <w:tcW w:w="0" w:type="auto"/>
          </w:tcPr>
          <w:p w14:paraId="7246C51D" w14:textId="77777777" w:rsidR="001A7483" w:rsidRDefault="007579C3">
            <w:pPr>
              <w:pStyle w:val="Compact"/>
            </w:pPr>
            <w:r>
              <w:lastRenderedPageBreak/>
              <w:t>Historical Module Addition</w:t>
            </w:r>
          </w:p>
        </w:tc>
        <w:tc>
          <w:tcPr>
            <w:tcW w:w="0" w:type="auto"/>
          </w:tcPr>
          <w:p w14:paraId="2004EAB7" w14:textId="77777777" w:rsidR="001A7483" w:rsidRDefault="007579C3">
            <w:pPr>
              <w:pStyle w:val="Compact"/>
            </w:pPr>
            <w:r>
              <w:t>Graduation Rate</w:t>
            </w:r>
          </w:p>
        </w:tc>
        <w:tc>
          <w:tcPr>
            <w:tcW w:w="0" w:type="auto"/>
          </w:tcPr>
          <w:p w14:paraId="77AD27A6" w14:textId="77777777" w:rsidR="001A7483" w:rsidRDefault="007579C3">
            <w:pPr>
              <w:pStyle w:val="Compact"/>
            </w:pPr>
            <w:r>
              <w:t>0.82</w:t>
            </w:r>
          </w:p>
        </w:tc>
      </w:tr>
      <w:tr w:rsidR="001A7483" w14:paraId="1C148DDC" w14:textId="77777777">
        <w:tc>
          <w:tcPr>
            <w:tcW w:w="0" w:type="auto"/>
          </w:tcPr>
          <w:p w14:paraId="7A888713" w14:textId="77777777" w:rsidR="001A7483" w:rsidRDefault="007579C3">
            <w:pPr>
              <w:pStyle w:val="Compact"/>
            </w:pPr>
            <w:r>
              <w:t>Industry Collaboration</w:t>
            </w:r>
          </w:p>
        </w:tc>
        <w:tc>
          <w:tcPr>
            <w:tcW w:w="0" w:type="auto"/>
          </w:tcPr>
          <w:p w14:paraId="62B2DC89" w14:textId="77777777" w:rsidR="001A7483" w:rsidRDefault="007579C3">
            <w:pPr>
              <w:pStyle w:val="Compact"/>
            </w:pPr>
            <w:r>
              <w:t>Student Satisfaction</w:t>
            </w:r>
          </w:p>
        </w:tc>
        <w:tc>
          <w:tcPr>
            <w:tcW w:w="0" w:type="auto"/>
          </w:tcPr>
          <w:p w14:paraId="02C35EB2" w14:textId="77777777" w:rsidR="001A7483" w:rsidRDefault="007579C3">
            <w:pPr>
              <w:pStyle w:val="Compact"/>
            </w:pPr>
            <w:r>
              <w:t>0.85</w:t>
            </w:r>
          </w:p>
        </w:tc>
      </w:tr>
      <w:tr w:rsidR="001A7483" w14:paraId="6EB5F187" w14:textId="77777777">
        <w:tc>
          <w:tcPr>
            <w:tcW w:w="0" w:type="auto"/>
          </w:tcPr>
          <w:p w14:paraId="5B92F76E" w14:textId="77777777" w:rsidR="001A7483" w:rsidRDefault="007579C3">
            <w:pPr>
              <w:pStyle w:val="Compact"/>
            </w:pPr>
            <w:r>
              <w:t>Practical Performance Hours</w:t>
            </w:r>
          </w:p>
        </w:tc>
        <w:tc>
          <w:tcPr>
            <w:tcW w:w="0" w:type="auto"/>
          </w:tcPr>
          <w:p w14:paraId="302B24E2" w14:textId="77777777" w:rsidR="001A7483" w:rsidRDefault="007579C3">
            <w:pPr>
              <w:pStyle w:val="Compact"/>
            </w:pPr>
            <w:r>
              <w:t>Final Course Grades</w:t>
            </w:r>
          </w:p>
        </w:tc>
        <w:tc>
          <w:tcPr>
            <w:tcW w:w="0" w:type="auto"/>
          </w:tcPr>
          <w:p w14:paraId="0232B77D" w14:textId="77777777" w:rsidR="001A7483" w:rsidRDefault="007579C3">
            <w:pPr>
              <w:pStyle w:val="Compact"/>
            </w:pPr>
            <w:r>
              <w:t>0.76</w:t>
            </w:r>
          </w:p>
        </w:tc>
      </w:tr>
    </w:tbl>
    <w:p w14:paraId="54FFADF2" w14:textId="77777777" w:rsidR="001A7483" w:rsidRDefault="007579C3">
      <w:pPr>
        <w:pStyle w:val="BodyText"/>
      </w:pPr>
      <w:r>
        <w:rPr>
          <w:b/>
        </w:rPr>
        <w:t>Table 3: Regression Analysis Predicting Student Performance</w:t>
      </w:r>
    </w:p>
    <w:tbl>
      <w:tblPr>
        <w:tblStyle w:val="Table"/>
        <w:tblW w:w="0" w:type="pct"/>
        <w:tblInd w:w="0" w:type="dxa"/>
        <w:tblLook w:val="04A0" w:firstRow="1" w:lastRow="0" w:firstColumn="1" w:lastColumn="0" w:noHBand="0" w:noVBand="1"/>
      </w:tblPr>
      <w:tblGrid>
        <w:gridCol w:w="3037"/>
        <w:gridCol w:w="1682"/>
        <w:gridCol w:w="983"/>
      </w:tblGrid>
      <w:tr w:rsidR="001A7483" w14:paraId="5F6716CE" w14:textId="77777777">
        <w:tc>
          <w:tcPr>
            <w:tcW w:w="0" w:type="auto"/>
            <w:tcBorders>
              <w:bottom w:val="single" w:sz="0" w:space="0" w:color="auto"/>
            </w:tcBorders>
            <w:vAlign w:val="bottom"/>
          </w:tcPr>
          <w:p w14:paraId="6FC10F07" w14:textId="77777777" w:rsidR="001A7483" w:rsidRDefault="007579C3">
            <w:pPr>
              <w:pStyle w:val="Compact"/>
            </w:pPr>
            <w:r>
              <w:t>Predictor Variable</w:t>
            </w:r>
          </w:p>
        </w:tc>
        <w:tc>
          <w:tcPr>
            <w:tcW w:w="0" w:type="auto"/>
            <w:tcBorders>
              <w:bottom w:val="single" w:sz="0" w:space="0" w:color="auto"/>
            </w:tcBorders>
            <w:vAlign w:val="bottom"/>
          </w:tcPr>
          <w:p w14:paraId="5C6A71E2" w14:textId="77777777" w:rsidR="001A7483" w:rsidRDefault="007579C3">
            <w:pPr>
              <w:pStyle w:val="Compact"/>
            </w:pPr>
            <w:r>
              <w:t>Coefficient (β)</w:t>
            </w:r>
          </w:p>
        </w:tc>
        <w:tc>
          <w:tcPr>
            <w:tcW w:w="0" w:type="auto"/>
            <w:tcBorders>
              <w:bottom w:val="single" w:sz="0" w:space="0" w:color="auto"/>
            </w:tcBorders>
            <w:vAlign w:val="bottom"/>
          </w:tcPr>
          <w:p w14:paraId="7A9FCC21" w14:textId="77777777" w:rsidR="001A7483" w:rsidRDefault="007579C3">
            <w:pPr>
              <w:pStyle w:val="Compact"/>
            </w:pPr>
            <w:r>
              <w:t>p-value</w:t>
            </w:r>
          </w:p>
        </w:tc>
      </w:tr>
      <w:tr w:rsidR="001A7483" w14:paraId="71A5FB8A" w14:textId="77777777">
        <w:tc>
          <w:tcPr>
            <w:tcW w:w="0" w:type="auto"/>
          </w:tcPr>
          <w:p w14:paraId="10E2D0C1" w14:textId="77777777" w:rsidR="001A7483" w:rsidRDefault="007579C3">
            <w:pPr>
              <w:pStyle w:val="Compact"/>
            </w:pPr>
            <w:r>
              <w:t>Cultural Content Hours</w:t>
            </w:r>
          </w:p>
        </w:tc>
        <w:tc>
          <w:tcPr>
            <w:tcW w:w="0" w:type="auto"/>
          </w:tcPr>
          <w:p w14:paraId="686F2F83" w14:textId="77777777" w:rsidR="001A7483" w:rsidRDefault="007579C3">
            <w:pPr>
              <w:pStyle w:val="Compact"/>
            </w:pPr>
            <w:r>
              <w:t>0.35</w:t>
            </w:r>
          </w:p>
        </w:tc>
        <w:tc>
          <w:tcPr>
            <w:tcW w:w="0" w:type="auto"/>
          </w:tcPr>
          <w:p w14:paraId="0C7EA5A9" w14:textId="77777777" w:rsidR="001A7483" w:rsidRDefault="007579C3">
            <w:pPr>
              <w:pStyle w:val="Compact"/>
            </w:pPr>
            <w:r>
              <w:t>&lt;0.01</w:t>
            </w:r>
          </w:p>
        </w:tc>
      </w:tr>
      <w:tr w:rsidR="001A7483" w14:paraId="35FE07E1" w14:textId="77777777">
        <w:tc>
          <w:tcPr>
            <w:tcW w:w="0" w:type="auto"/>
          </w:tcPr>
          <w:p w14:paraId="07AFD15A" w14:textId="77777777" w:rsidR="001A7483" w:rsidRDefault="007579C3">
            <w:pPr>
              <w:pStyle w:val="Compact"/>
            </w:pPr>
            <w:r>
              <w:t>Historical Knowledge Score</w:t>
            </w:r>
          </w:p>
        </w:tc>
        <w:tc>
          <w:tcPr>
            <w:tcW w:w="0" w:type="auto"/>
          </w:tcPr>
          <w:p w14:paraId="7EFF12AD" w14:textId="77777777" w:rsidR="001A7483" w:rsidRDefault="007579C3">
            <w:pPr>
              <w:pStyle w:val="Compact"/>
            </w:pPr>
            <w:r>
              <w:t>0.28</w:t>
            </w:r>
          </w:p>
        </w:tc>
        <w:tc>
          <w:tcPr>
            <w:tcW w:w="0" w:type="auto"/>
          </w:tcPr>
          <w:p w14:paraId="1A7C84C4" w14:textId="77777777" w:rsidR="001A7483" w:rsidRDefault="007579C3">
            <w:pPr>
              <w:pStyle w:val="Compact"/>
            </w:pPr>
            <w:r>
              <w:t>&lt;0.05</w:t>
            </w:r>
          </w:p>
        </w:tc>
      </w:tr>
      <w:tr w:rsidR="001A7483" w14:paraId="50381A87" w14:textId="77777777">
        <w:tc>
          <w:tcPr>
            <w:tcW w:w="0" w:type="auto"/>
          </w:tcPr>
          <w:p w14:paraId="6D8110D0" w14:textId="77777777" w:rsidR="001A7483" w:rsidRDefault="007579C3">
            <w:pPr>
              <w:pStyle w:val="Compact"/>
            </w:pPr>
            <w:r>
              <w:t>Industry Engagement</w:t>
            </w:r>
          </w:p>
        </w:tc>
        <w:tc>
          <w:tcPr>
            <w:tcW w:w="0" w:type="auto"/>
          </w:tcPr>
          <w:p w14:paraId="0B6EDFBF" w14:textId="77777777" w:rsidR="001A7483" w:rsidRDefault="007579C3">
            <w:pPr>
              <w:pStyle w:val="Compact"/>
            </w:pPr>
            <w:r>
              <w:t>0.22</w:t>
            </w:r>
          </w:p>
        </w:tc>
        <w:tc>
          <w:tcPr>
            <w:tcW w:w="0" w:type="auto"/>
          </w:tcPr>
          <w:p w14:paraId="378A5052" w14:textId="77777777" w:rsidR="001A7483" w:rsidRDefault="007579C3">
            <w:pPr>
              <w:pStyle w:val="Compact"/>
            </w:pPr>
            <w:r>
              <w:t>&lt;0.05</w:t>
            </w:r>
          </w:p>
        </w:tc>
      </w:tr>
      <w:tr w:rsidR="001A7483" w14:paraId="6B226786" w14:textId="77777777">
        <w:tc>
          <w:tcPr>
            <w:tcW w:w="0" w:type="auto"/>
          </w:tcPr>
          <w:p w14:paraId="135E847D" w14:textId="77777777" w:rsidR="001A7483" w:rsidRDefault="007579C3">
            <w:pPr>
              <w:pStyle w:val="Compact"/>
            </w:pPr>
            <w:r>
              <w:t>Traditional Acting Skills</w:t>
            </w:r>
          </w:p>
        </w:tc>
        <w:tc>
          <w:tcPr>
            <w:tcW w:w="0" w:type="auto"/>
          </w:tcPr>
          <w:p w14:paraId="2C0D61EA" w14:textId="77777777" w:rsidR="001A7483" w:rsidRDefault="007579C3">
            <w:pPr>
              <w:pStyle w:val="Compact"/>
            </w:pPr>
            <w:r>
              <w:t>0.15</w:t>
            </w:r>
          </w:p>
        </w:tc>
        <w:tc>
          <w:tcPr>
            <w:tcW w:w="0" w:type="auto"/>
          </w:tcPr>
          <w:p w14:paraId="187211D2" w14:textId="77777777" w:rsidR="001A7483" w:rsidRDefault="007579C3">
            <w:pPr>
              <w:pStyle w:val="Compact"/>
            </w:pPr>
            <w:r>
              <w:t>&lt;0.10</w:t>
            </w:r>
          </w:p>
        </w:tc>
      </w:tr>
      <w:tr w:rsidR="001A7483" w14:paraId="4BA1C84C" w14:textId="77777777">
        <w:tc>
          <w:tcPr>
            <w:tcW w:w="0" w:type="auto"/>
          </w:tcPr>
          <w:p w14:paraId="21EA6F66" w14:textId="77777777" w:rsidR="001A7483" w:rsidRDefault="007579C3">
            <w:pPr>
              <w:pStyle w:val="Compact"/>
            </w:pPr>
            <w:r>
              <w:t>Constant</w:t>
            </w:r>
          </w:p>
        </w:tc>
        <w:tc>
          <w:tcPr>
            <w:tcW w:w="0" w:type="auto"/>
          </w:tcPr>
          <w:p w14:paraId="39C06F4D" w14:textId="77777777" w:rsidR="001A7483" w:rsidRDefault="007579C3">
            <w:pPr>
              <w:pStyle w:val="Compact"/>
            </w:pPr>
            <w:r>
              <w:t>2.50</w:t>
            </w:r>
          </w:p>
        </w:tc>
        <w:tc>
          <w:tcPr>
            <w:tcW w:w="0" w:type="auto"/>
          </w:tcPr>
          <w:p w14:paraId="267AAF3F" w14:textId="77777777" w:rsidR="001A7483" w:rsidRDefault="007579C3">
            <w:pPr>
              <w:pStyle w:val="Compact"/>
            </w:pPr>
            <w:r>
              <w:t>&lt;0.01</w:t>
            </w:r>
          </w:p>
        </w:tc>
      </w:tr>
    </w:tbl>
    <w:p w14:paraId="188DDF3B" w14:textId="77777777" w:rsidR="001A7483" w:rsidRDefault="007579C3">
      <w:pPr>
        <w:pStyle w:val="Heading4"/>
        <w:rPr>
          <w:color w:val="auto"/>
        </w:rPr>
      </w:pPr>
      <w:bookmarkStart w:id="11" w:name="qualitative-results"/>
      <w:r>
        <w:rPr>
          <w:color w:val="auto"/>
        </w:rPr>
        <w:t>4.2 Qualitative Results</w:t>
      </w:r>
      <w:bookmarkEnd w:id="11"/>
    </w:p>
    <w:p w14:paraId="15B9A930" w14:textId="77777777" w:rsidR="001A7483" w:rsidRDefault="007579C3">
      <w:pPr>
        <w:pStyle w:val="FirstParagraph"/>
      </w:pPr>
      <w:r>
        <w:rPr>
          <w:b/>
        </w:rPr>
        <w:t>Table 4: Thematic Analysis of Interview Transcripts</w:t>
      </w:r>
    </w:p>
    <w:tbl>
      <w:tblPr>
        <w:tblStyle w:val="Table"/>
        <w:tblW w:w="5000" w:type="pct"/>
        <w:tblInd w:w="0" w:type="dxa"/>
        <w:tblLook w:val="04A0" w:firstRow="1" w:lastRow="0" w:firstColumn="1" w:lastColumn="0" w:noHBand="0" w:noVBand="1"/>
      </w:tblPr>
      <w:tblGrid>
        <w:gridCol w:w="2218"/>
        <w:gridCol w:w="1303"/>
        <w:gridCol w:w="5839"/>
      </w:tblGrid>
      <w:tr w:rsidR="001A7483" w14:paraId="7B3C233B" w14:textId="77777777">
        <w:tc>
          <w:tcPr>
            <w:tcW w:w="0" w:type="auto"/>
            <w:tcBorders>
              <w:bottom w:val="single" w:sz="0" w:space="0" w:color="auto"/>
            </w:tcBorders>
            <w:vAlign w:val="bottom"/>
          </w:tcPr>
          <w:p w14:paraId="0E9C463F" w14:textId="77777777" w:rsidR="001A7483" w:rsidRDefault="007579C3">
            <w:pPr>
              <w:pStyle w:val="Compact"/>
            </w:pPr>
            <w:r>
              <w:t>Theme</w:t>
            </w:r>
          </w:p>
        </w:tc>
        <w:tc>
          <w:tcPr>
            <w:tcW w:w="0" w:type="auto"/>
            <w:tcBorders>
              <w:bottom w:val="single" w:sz="0" w:space="0" w:color="auto"/>
            </w:tcBorders>
            <w:vAlign w:val="bottom"/>
          </w:tcPr>
          <w:p w14:paraId="1C3F8E05" w14:textId="77777777" w:rsidR="001A7483" w:rsidRDefault="007579C3">
            <w:pPr>
              <w:pStyle w:val="Compact"/>
            </w:pPr>
            <w:r>
              <w:t>Frequency</w:t>
            </w:r>
          </w:p>
        </w:tc>
        <w:tc>
          <w:tcPr>
            <w:tcW w:w="0" w:type="auto"/>
            <w:tcBorders>
              <w:bottom w:val="single" w:sz="0" w:space="0" w:color="auto"/>
            </w:tcBorders>
            <w:vAlign w:val="bottom"/>
          </w:tcPr>
          <w:p w14:paraId="4D3812F5" w14:textId="77777777" w:rsidR="001A7483" w:rsidRDefault="007579C3">
            <w:pPr>
              <w:pStyle w:val="Compact"/>
            </w:pPr>
            <w:r>
              <w:t>Key Quotes</w:t>
            </w:r>
          </w:p>
        </w:tc>
      </w:tr>
      <w:tr w:rsidR="001A7483" w14:paraId="351E2E4D" w14:textId="77777777">
        <w:tc>
          <w:tcPr>
            <w:tcW w:w="0" w:type="auto"/>
          </w:tcPr>
          <w:p w14:paraId="4D2093A8" w14:textId="77777777" w:rsidR="001A7483" w:rsidRDefault="007579C3">
            <w:pPr>
              <w:pStyle w:val="Compact"/>
            </w:pPr>
            <w:r>
              <w:t xml:space="preserve">Enhanced </w:t>
            </w:r>
            <w:r>
              <w:t>Cultural Awareness</w:t>
            </w:r>
          </w:p>
        </w:tc>
        <w:tc>
          <w:tcPr>
            <w:tcW w:w="0" w:type="auto"/>
          </w:tcPr>
          <w:p w14:paraId="75CD6C5E" w14:textId="77777777" w:rsidR="001A7483" w:rsidRDefault="007579C3">
            <w:pPr>
              <w:pStyle w:val="Compact"/>
            </w:pPr>
            <w:r>
              <w:t>45</w:t>
            </w:r>
          </w:p>
        </w:tc>
        <w:tc>
          <w:tcPr>
            <w:tcW w:w="0" w:type="auto"/>
          </w:tcPr>
          <w:p w14:paraId="64C35845" w14:textId="77777777" w:rsidR="001A7483" w:rsidRDefault="007579C3">
            <w:pPr>
              <w:pStyle w:val="Compact"/>
            </w:pPr>
            <w:r>
              <w:t>“Students show a deeper understanding of cultural contexts,” “Performance quality improved with cultural integration.”</w:t>
            </w:r>
          </w:p>
        </w:tc>
      </w:tr>
      <w:tr w:rsidR="001A7483" w14:paraId="4EA59EAC" w14:textId="77777777">
        <w:tc>
          <w:tcPr>
            <w:tcW w:w="0" w:type="auto"/>
          </w:tcPr>
          <w:p w14:paraId="61E314A4" w14:textId="77777777" w:rsidR="001A7483" w:rsidRDefault="007579C3">
            <w:pPr>
              <w:pStyle w:val="Compact"/>
            </w:pPr>
            <w:r>
              <w:t>Increased Student Engagement</w:t>
            </w:r>
          </w:p>
        </w:tc>
        <w:tc>
          <w:tcPr>
            <w:tcW w:w="0" w:type="auto"/>
          </w:tcPr>
          <w:p w14:paraId="5F9BBB28" w14:textId="77777777" w:rsidR="001A7483" w:rsidRDefault="007579C3">
            <w:pPr>
              <w:pStyle w:val="Compact"/>
            </w:pPr>
            <w:r>
              <w:t>38</w:t>
            </w:r>
          </w:p>
        </w:tc>
        <w:tc>
          <w:tcPr>
            <w:tcW w:w="0" w:type="auto"/>
          </w:tcPr>
          <w:p w14:paraId="7467D6BA" w14:textId="77777777" w:rsidR="001A7483" w:rsidRDefault="007579C3">
            <w:pPr>
              <w:pStyle w:val="Compact"/>
            </w:pPr>
            <w:r>
              <w:t xml:space="preserve">“Students are more enthusiastic about courses,” “Higher participation in </w:t>
            </w:r>
            <w:r>
              <w:t>extracurricular activities.”</w:t>
            </w:r>
          </w:p>
        </w:tc>
      </w:tr>
      <w:tr w:rsidR="001A7483" w14:paraId="769B2FF9" w14:textId="77777777">
        <w:tc>
          <w:tcPr>
            <w:tcW w:w="0" w:type="auto"/>
          </w:tcPr>
          <w:p w14:paraId="42C50520" w14:textId="77777777" w:rsidR="001A7483" w:rsidRDefault="007579C3">
            <w:pPr>
              <w:pStyle w:val="Compact"/>
            </w:pPr>
            <w:r>
              <w:t>Industry Relevance</w:t>
            </w:r>
          </w:p>
        </w:tc>
        <w:tc>
          <w:tcPr>
            <w:tcW w:w="0" w:type="auto"/>
          </w:tcPr>
          <w:p w14:paraId="1B6271E5" w14:textId="77777777" w:rsidR="001A7483" w:rsidRDefault="007579C3">
            <w:pPr>
              <w:pStyle w:val="Compact"/>
            </w:pPr>
            <w:r>
              <w:t>29</w:t>
            </w:r>
          </w:p>
        </w:tc>
        <w:tc>
          <w:tcPr>
            <w:tcW w:w="0" w:type="auto"/>
          </w:tcPr>
          <w:p w14:paraId="2AB82CCB" w14:textId="77777777" w:rsidR="001A7483" w:rsidRDefault="007579C3">
            <w:pPr>
              <w:pStyle w:val="Compact"/>
            </w:pPr>
            <w:r>
              <w:t>“Graduates are better prepared for industry challenges,” “Stronger connections with professional theaters.”</w:t>
            </w:r>
          </w:p>
        </w:tc>
      </w:tr>
    </w:tbl>
    <w:p w14:paraId="3A8C678E" w14:textId="77777777" w:rsidR="001A7483" w:rsidRDefault="007579C3">
      <w:pPr>
        <w:pStyle w:val="BodyText"/>
      </w:pPr>
      <w:r>
        <w:rPr>
          <w:b/>
        </w:rPr>
        <w:t>Table 5: Content Analysis of Literature Review</w:t>
      </w:r>
    </w:p>
    <w:tbl>
      <w:tblPr>
        <w:tblStyle w:val="Table"/>
        <w:tblW w:w="0" w:type="pct"/>
        <w:tblInd w:w="0" w:type="dxa"/>
        <w:tblLook w:val="04A0" w:firstRow="1" w:lastRow="0" w:firstColumn="1" w:lastColumn="0" w:noHBand="0" w:noVBand="1"/>
      </w:tblPr>
      <w:tblGrid>
        <w:gridCol w:w="2421"/>
        <w:gridCol w:w="1303"/>
        <w:gridCol w:w="1986"/>
      </w:tblGrid>
      <w:tr w:rsidR="001A7483" w14:paraId="66A2BA10" w14:textId="77777777">
        <w:tc>
          <w:tcPr>
            <w:tcW w:w="0" w:type="auto"/>
            <w:tcBorders>
              <w:bottom w:val="single" w:sz="0" w:space="0" w:color="auto"/>
            </w:tcBorders>
            <w:vAlign w:val="bottom"/>
          </w:tcPr>
          <w:p w14:paraId="376D956B" w14:textId="77777777" w:rsidR="001A7483" w:rsidRDefault="007579C3">
            <w:pPr>
              <w:pStyle w:val="Compact"/>
            </w:pPr>
            <w:r>
              <w:t>Keyword</w:t>
            </w:r>
          </w:p>
        </w:tc>
        <w:tc>
          <w:tcPr>
            <w:tcW w:w="0" w:type="auto"/>
            <w:tcBorders>
              <w:bottom w:val="single" w:sz="0" w:space="0" w:color="auto"/>
            </w:tcBorders>
            <w:vAlign w:val="bottom"/>
          </w:tcPr>
          <w:p w14:paraId="0209F3C1" w14:textId="77777777" w:rsidR="001A7483" w:rsidRDefault="007579C3">
            <w:pPr>
              <w:pStyle w:val="Compact"/>
            </w:pPr>
            <w:r>
              <w:t>Frequency</w:t>
            </w:r>
          </w:p>
        </w:tc>
        <w:tc>
          <w:tcPr>
            <w:tcW w:w="0" w:type="auto"/>
            <w:tcBorders>
              <w:bottom w:val="single" w:sz="0" w:space="0" w:color="auto"/>
            </w:tcBorders>
            <w:vAlign w:val="bottom"/>
          </w:tcPr>
          <w:p w14:paraId="52D8EA56" w14:textId="77777777" w:rsidR="001A7483" w:rsidRDefault="007579C3">
            <w:pPr>
              <w:pStyle w:val="Compact"/>
            </w:pPr>
            <w:r>
              <w:t>Keyword Density</w:t>
            </w:r>
          </w:p>
        </w:tc>
      </w:tr>
      <w:tr w:rsidR="001A7483" w14:paraId="039F925F" w14:textId="77777777">
        <w:tc>
          <w:tcPr>
            <w:tcW w:w="0" w:type="auto"/>
          </w:tcPr>
          <w:p w14:paraId="0BC8D9F9" w14:textId="77777777" w:rsidR="001A7483" w:rsidRDefault="007579C3">
            <w:pPr>
              <w:pStyle w:val="Compact"/>
            </w:pPr>
            <w:r>
              <w:t>Cultural Heri</w:t>
            </w:r>
            <w:r>
              <w:t>tage</w:t>
            </w:r>
          </w:p>
        </w:tc>
        <w:tc>
          <w:tcPr>
            <w:tcW w:w="0" w:type="auto"/>
          </w:tcPr>
          <w:p w14:paraId="335ED6FC" w14:textId="77777777" w:rsidR="001A7483" w:rsidRDefault="007579C3">
            <w:pPr>
              <w:pStyle w:val="Compact"/>
            </w:pPr>
            <w:r>
              <w:t>57</w:t>
            </w:r>
          </w:p>
        </w:tc>
        <w:tc>
          <w:tcPr>
            <w:tcW w:w="0" w:type="auto"/>
          </w:tcPr>
          <w:p w14:paraId="586A5DDB" w14:textId="77777777" w:rsidR="001A7483" w:rsidRDefault="007579C3">
            <w:pPr>
              <w:pStyle w:val="Compact"/>
            </w:pPr>
            <w:r>
              <w:t>0.12</w:t>
            </w:r>
          </w:p>
        </w:tc>
      </w:tr>
      <w:tr w:rsidR="001A7483" w14:paraId="6867E391" w14:textId="77777777">
        <w:tc>
          <w:tcPr>
            <w:tcW w:w="0" w:type="auto"/>
          </w:tcPr>
          <w:p w14:paraId="1BBF0B00" w14:textId="77777777" w:rsidR="001A7483" w:rsidRDefault="007579C3">
            <w:pPr>
              <w:pStyle w:val="Compact"/>
            </w:pPr>
            <w:r>
              <w:t>Curriculum Reform</w:t>
            </w:r>
          </w:p>
        </w:tc>
        <w:tc>
          <w:tcPr>
            <w:tcW w:w="0" w:type="auto"/>
          </w:tcPr>
          <w:p w14:paraId="0B15B33B" w14:textId="77777777" w:rsidR="001A7483" w:rsidRDefault="007579C3">
            <w:pPr>
              <w:pStyle w:val="Compact"/>
            </w:pPr>
            <w:r>
              <w:t>42</w:t>
            </w:r>
          </w:p>
        </w:tc>
        <w:tc>
          <w:tcPr>
            <w:tcW w:w="0" w:type="auto"/>
          </w:tcPr>
          <w:p w14:paraId="5A8982B3" w14:textId="77777777" w:rsidR="001A7483" w:rsidRDefault="007579C3">
            <w:pPr>
              <w:pStyle w:val="Compact"/>
            </w:pPr>
            <w:r>
              <w:t>0.09</w:t>
            </w:r>
          </w:p>
        </w:tc>
      </w:tr>
      <w:tr w:rsidR="001A7483" w14:paraId="2228F794" w14:textId="77777777">
        <w:tc>
          <w:tcPr>
            <w:tcW w:w="0" w:type="auto"/>
          </w:tcPr>
          <w:p w14:paraId="74922A02" w14:textId="77777777" w:rsidR="001A7483" w:rsidRDefault="007579C3">
            <w:pPr>
              <w:pStyle w:val="Compact"/>
            </w:pPr>
            <w:r>
              <w:t>Student Performance</w:t>
            </w:r>
          </w:p>
        </w:tc>
        <w:tc>
          <w:tcPr>
            <w:tcW w:w="0" w:type="auto"/>
          </w:tcPr>
          <w:p w14:paraId="266283FE" w14:textId="77777777" w:rsidR="001A7483" w:rsidRDefault="007579C3">
            <w:pPr>
              <w:pStyle w:val="Compact"/>
            </w:pPr>
            <w:r>
              <w:t>35</w:t>
            </w:r>
          </w:p>
        </w:tc>
        <w:tc>
          <w:tcPr>
            <w:tcW w:w="0" w:type="auto"/>
          </w:tcPr>
          <w:p w14:paraId="2C6E6517" w14:textId="77777777" w:rsidR="001A7483" w:rsidRDefault="007579C3">
            <w:pPr>
              <w:pStyle w:val="Compact"/>
            </w:pPr>
            <w:r>
              <w:t>0.07</w:t>
            </w:r>
          </w:p>
        </w:tc>
      </w:tr>
      <w:tr w:rsidR="001A7483" w14:paraId="7FCB09EA" w14:textId="77777777">
        <w:tc>
          <w:tcPr>
            <w:tcW w:w="0" w:type="auto"/>
          </w:tcPr>
          <w:p w14:paraId="18AEA28A" w14:textId="77777777" w:rsidR="001A7483" w:rsidRDefault="007579C3">
            <w:pPr>
              <w:pStyle w:val="Compact"/>
            </w:pPr>
            <w:r>
              <w:t>Historical Integration</w:t>
            </w:r>
          </w:p>
        </w:tc>
        <w:tc>
          <w:tcPr>
            <w:tcW w:w="0" w:type="auto"/>
          </w:tcPr>
          <w:p w14:paraId="7E9E3D54" w14:textId="77777777" w:rsidR="001A7483" w:rsidRDefault="007579C3">
            <w:pPr>
              <w:pStyle w:val="Compact"/>
            </w:pPr>
            <w:r>
              <w:t>28</w:t>
            </w:r>
          </w:p>
        </w:tc>
        <w:tc>
          <w:tcPr>
            <w:tcW w:w="0" w:type="auto"/>
          </w:tcPr>
          <w:p w14:paraId="17A3BE5F" w14:textId="77777777" w:rsidR="001A7483" w:rsidRDefault="007579C3">
            <w:pPr>
              <w:pStyle w:val="Compact"/>
            </w:pPr>
            <w:r>
              <w:t>0.06</w:t>
            </w:r>
          </w:p>
        </w:tc>
      </w:tr>
    </w:tbl>
    <w:p w14:paraId="2B485A2F" w14:textId="77777777" w:rsidR="001A7483" w:rsidRDefault="007579C3">
      <w:pPr>
        <w:pStyle w:val="BodyText"/>
      </w:pPr>
      <w:r>
        <w:t xml:space="preserve">The data presented in Tables 1-5 provide a detailed examination of the impact of integrating historical and cultural heritage into the </w:t>
      </w:r>
      <w:r>
        <w:t>curriculum of drama performance programs. Table 1 shows improvements in student performance metrics post-reform. Table 2 highlights significant correlations between curriculum changes and student outcomes. Table 3 presents regression analysis results, indi</w:t>
      </w:r>
      <w:r>
        <w:t>cating key predictors of student performance. Tables 4 and 5 offer qualitative insights from thematic and content analyses, respectively, revealing enhanced cultural awareness, increased student engagement, and greater industry relevance.</w:t>
      </w:r>
    </w:p>
    <w:p w14:paraId="11B88070" w14:textId="77777777" w:rsidR="001A7483" w:rsidRDefault="007579C3">
      <w:pPr>
        <w:pStyle w:val="Heading3"/>
        <w:rPr>
          <w:color w:val="auto"/>
        </w:rPr>
      </w:pPr>
      <w:bookmarkStart w:id="12" w:name="discussion"/>
      <w:r>
        <w:rPr>
          <w:color w:val="auto"/>
        </w:rPr>
        <w:lastRenderedPageBreak/>
        <w:t>5 Discussion</w:t>
      </w:r>
      <w:bookmarkEnd w:id="12"/>
    </w:p>
    <w:p w14:paraId="6E24077A" w14:textId="77777777" w:rsidR="001A7483" w:rsidRDefault="007579C3">
      <w:pPr>
        <w:pStyle w:val="Heading4"/>
        <w:rPr>
          <w:color w:val="auto"/>
        </w:rPr>
      </w:pPr>
      <w:bookmarkStart w:id="13" w:name="significance-of-results"/>
      <w:r>
        <w:rPr>
          <w:color w:val="auto"/>
        </w:rPr>
        <w:t xml:space="preserve">5.1 </w:t>
      </w:r>
      <w:r>
        <w:rPr>
          <w:color w:val="auto"/>
        </w:rPr>
        <w:t>Significance of Results</w:t>
      </w:r>
      <w:bookmarkEnd w:id="13"/>
    </w:p>
    <w:p w14:paraId="773FB566" w14:textId="77777777" w:rsidR="001A7483" w:rsidRDefault="007579C3">
      <w:pPr>
        <w:pStyle w:val="FirstParagraph"/>
      </w:pPr>
      <w:r>
        <w:t>The findings of this study offer substantial insights into the impact of incorporating historical and cultural heritage into the curriculum of drama performance programs at higher education institutions. The comprehensive analysis o</w:t>
      </w:r>
      <w:r>
        <w:t>f both quantitative and qualitative data elucidates the multifaceted benefits and challenges associated with this educational reform.</w:t>
      </w:r>
    </w:p>
    <w:p w14:paraId="621F016A" w14:textId="77777777" w:rsidR="001A7483" w:rsidRDefault="007579C3">
      <w:pPr>
        <w:pStyle w:val="BodyText"/>
      </w:pPr>
      <w:r>
        <w:t>Quantitative results reveal a significant enhancement in student performance metrics post-curriculum reform. As depicted i</w:t>
      </w:r>
      <w:r>
        <w:t>n Table 1, average grades and graduation rates across all participating universities demonstrated notable increases. For example, University 1 experienced an average grade rise from 3.2 to 3.6 and a graduation rate increase from 75% to 82%. These improveme</w:t>
      </w:r>
      <w:r>
        <w:t>nts suggest that the integration of cultural and historical content positively influences academic outcomes. The correlation coefficients in Table 2 further corroborate this, with a strong positive correlation (r = 0.78) between cultural content integratio</w:t>
      </w:r>
      <w:r>
        <w:t>n and average grades, and a similarly robust correlation (r = 0.82) between historical module addition and graduation rates. These results are statistically significant, indicating that the curriculum changes reliably enhance student performance.</w:t>
      </w:r>
    </w:p>
    <w:p w14:paraId="5A8626FC" w14:textId="77777777" w:rsidR="001A7483" w:rsidRDefault="007579C3">
      <w:pPr>
        <w:pStyle w:val="BodyText"/>
      </w:pPr>
      <w:r>
        <w:t>Qualitati</w:t>
      </w:r>
      <w:r>
        <w:t>ve findings provide deeper perspectives on the perceived benefits of the curriculum reform. Thematic analysis of interview transcripts identified three predominant themes: enhanced cultural awareness, increased student engagement, and industry relevance. E</w:t>
      </w:r>
      <w:r>
        <w:t xml:space="preserve">ducators and practitioners observed that students exhibited a deeper understanding of cultural contexts, thereby improving the quality of their performances. This aligns with the content analysis of literature reviews, where terms like “cultural heritage” </w:t>
      </w:r>
      <w:r>
        <w:t>and “historical integration” were frequently cited, highlighting scholarly emphasis on these aspects. The high frequency and density of these keywords underscore the importance of cultural and historical education in drama performance programs.</w:t>
      </w:r>
    </w:p>
    <w:p w14:paraId="67926577" w14:textId="77777777" w:rsidR="001A7483" w:rsidRDefault="007579C3">
      <w:pPr>
        <w:pStyle w:val="Heading4"/>
        <w:rPr>
          <w:color w:val="auto"/>
        </w:rPr>
      </w:pPr>
      <w:bookmarkStart w:id="14" w:name="innovations-in-the-study"/>
      <w:r>
        <w:rPr>
          <w:color w:val="auto"/>
        </w:rPr>
        <w:t>5.2 Innovat</w:t>
      </w:r>
      <w:r>
        <w:rPr>
          <w:color w:val="auto"/>
        </w:rPr>
        <w:t>ions in the Study</w:t>
      </w:r>
      <w:bookmarkEnd w:id="14"/>
    </w:p>
    <w:p w14:paraId="764B70DA" w14:textId="77777777" w:rsidR="001A7483" w:rsidRDefault="007579C3">
      <w:pPr>
        <w:pStyle w:val="FirstParagraph"/>
      </w:pPr>
      <w:r>
        <w:t>A key innovation of this study is its holistic approach to curriculum reform, integrating historical and cultural heritage with practical drama education. Unlike previous research focusing exclusively on either theoretical aspects of cult</w:t>
      </w:r>
      <w:r>
        <w:t>ural integration or practical drama skills, this study combines both, offering a more comprehensive educational experience. The adoption of a mixed-methods approach, blending quantitative data analysis with qualitative insights, ensures a robust and well-r</w:t>
      </w:r>
      <w:r>
        <w:t>ounded understanding of the curriculum reform process. This methodological innovation facilitates a nuanced interpretation of the results, capturing both measurable academic improvements and intangible benefits such as student engagement and cultural aware</w:t>
      </w:r>
      <w:r>
        <w:t>ness.</w:t>
      </w:r>
    </w:p>
    <w:p w14:paraId="4735473E" w14:textId="77777777" w:rsidR="001A7483" w:rsidRDefault="007579C3">
      <w:pPr>
        <w:pStyle w:val="BodyText"/>
      </w:pPr>
      <w:r>
        <w:t>Additionally, the study’s focus on industry collaboration as a component of curriculum reform is innovative. The strong correlation (r = 0.85) between industry collaboration and student satisfaction, as shown in Table 2, underscores the importance of</w:t>
      </w:r>
      <w:r>
        <w:t xml:space="preserve"> aligning educational programs with industry needs. This approach enhances curriculum relevance and better prepares students for real-world challenges in the theater industry.</w:t>
      </w:r>
    </w:p>
    <w:p w14:paraId="61FAECAA" w14:textId="77777777" w:rsidR="001A7483" w:rsidRDefault="007579C3">
      <w:pPr>
        <w:pStyle w:val="Heading4"/>
        <w:rPr>
          <w:color w:val="auto"/>
        </w:rPr>
      </w:pPr>
      <w:bookmarkStart w:id="15" w:name="limitations-of-the-study"/>
      <w:r>
        <w:rPr>
          <w:color w:val="auto"/>
        </w:rPr>
        <w:lastRenderedPageBreak/>
        <w:t>5.3 Limitations of the Study</w:t>
      </w:r>
      <w:bookmarkEnd w:id="15"/>
    </w:p>
    <w:p w14:paraId="7256191C" w14:textId="77777777" w:rsidR="001A7483" w:rsidRDefault="007579C3">
      <w:pPr>
        <w:pStyle w:val="FirstParagraph"/>
      </w:pPr>
      <w:r>
        <w:t xml:space="preserve">Despite the significant findings, this study has </w:t>
      </w:r>
      <w:r>
        <w:t>several limitations. Firstly, the scope of the data sources is limited. While multiple universities were included, the sample size may not be representative of all higher education institutions offering drama performance programs globally, thereby limiting</w:t>
      </w:r>
      <w:r>
        <w:t xml:space="preserve"> the generalizability of the findings. Further research with a broader sample is required to validate these results across different contexts.</w:t>
      </w:r>
    </w:p>
    <w:p w14:paraId="6C0E41D4" w14:textId="77777777" w:rsidR="001A7483" w:rsidRDefault="007579C3">
      <w:pPr>
        <w:pStyle w:val="BodyText"/>
      </w:pPr>
      <w:r>
        <w:t>Secondly, there is potential for subjective bias in the qualitative data. Interviews and literature reviews, alth</w:t>
      </w:r>
      <w:r>
        <w:t>ough rich in insights, are subject to participants’ personal opinions and experiences. While thematic and content analyses were employed to mitigate bias, some degree of subjectivity remains inherent in qualitative research.</w:t>
      </w:r>
    </w:p>
    <w:p w14:paraId="7A004930" w14:textId="77777777" w:rsidR="001A7483" w:rsidRDefault="007579C3">
      <w:pPr>
        <w:pStyle w:val="BodyText"/>
      </w:pPr>
      <w:r>
        <w:t>Lastly, the study’s focus on sh</w:t>
      </w:r>
      <w:r>
        <w:t>ort-term outcomes (e.g., immediate improvements in grades and graduation rates) does not capture the long-term impacts of the curriculum reform. Longitudinal studies are essential to evaluate the sustained benefits of these reforms on students’ careers and</w:t>
      </w:r>
      <w:r>
        <w:t xml:space="preserve"> the broader theater industry.</w:t>
      </w:r>
    </w:p>
    <w:p w14:paraId="7804BB48" w14:textId="77777777" w:rsidR="001A7483" w:rsidRDefault="007579C3">
      <w:pPr>
        <w:pStyle w:val="BodyText"/>
      </w:pPr>
      <w:r>
        <w:t>In summary, while this study provides compelling evidence of the benefits of integrating historical and cultural heritage into drama performance curricula, it is crucial to acknowledge these limitations in interpreting and ap</w:t>
      </w:r>
      <w:r>
        <w:t>plying the findings. Future research should aim to address these limitations to further enhance our understanding of effective curriculum reform in higher education drama programs.</w:t>
      </w:r>
    </w:p>
    <w:p w14:paraId="6891BB4E" w14:textId="77777777" w:rsidR="001A7483" w:rsidRDefault="007579C3">
      <w:pPr>
        <w:pStyle w:val="Heading3"/>
        <w:rPr>
          <w:color w:val="auto"/>
        </w:rPr>
      </w:pPr>
      <w:bookmarkStart w:id="16" w:name="conclusion"/>
      <w:r>
        <w:rPr>
          <w:color w:val="auto"/>
        </w:rPr>
        <w:t>6 Conclusion</w:t>
      </w:r>
      <w:bookmarkEnd w:id="16"/>
    </w:p>
    <w:p w14:paraId="39CB8CCF" w14:textId="77777777" w:rsidR="001A7483" w:rsidRDefault="007579C3">
      <w:pPr>
        <w:pStyle w:val="FirstParagraph"/>
      </w:pPr>
      <w:r>
        <w:t xml:space="preserve">This study has systematically examined the </w:t>
      </w:r>
      <w:r>
        <w:t>integration of historical and cultural heritage into the curriculum of drama performance programs within higher education institutions, utilizing a robust mixed-methods approach to yield comprehensive insights. The principal findings are summarized as foll</w:t>
      </w:r>
      <w:r>
        <w:t>ows:</w:t>
      </w:r>
    </w:p>
    <w:p w14:paraId="50E5A323" w14:textId="77777777" w:rsidR="001A7483" w:rsidRDefault="007579C3">
      <w:pPr>
        <w:pStyle w:val="Heading4"/>
        <w:rPr>
          <w:color w:val="auto"/>
        </w:rPr>
      </w:pPr>
      <w:bookmarkStart w:id="17" w:name="quantitative-improvements"/>
      <w:r>
        <w:rPr>
          <w:color w:val="auto"/>
        </w:rPr>
        <w:t>6.1 Quantitative Improvements</w:t>
      </w:r>
      <w:bookmarkEnd w:id="17"/>
    </w:p>
    <w:p w14:paraId="14B04990" w14:textId="77777777" w:rsidR="001A7483" w:rsidRDefault="007579C3">
      <w:pPr>
        <w:pStyle w:val="FirstParagraph"/>
      </w:pPr>
      <w:r>
        <w:t>The analysis of academic records indicated a substantial enhancement in student performance metrics following the curriculum reform. As evidenced in Table 1, average grades and graduation rates across all participating un</w:t>
      </w:r>
      <w:r>
        <w:t>iversities exhibited significant increases. The correlation coefficients presented in Table 2 revealed strong positive relationships between the integration of cultural content, historical modules, industry collaboration, and student outcomes. Regression a</w:t>
      </w:r>
      <w:r>
        <w:t>nalysis (Table 3) further identified specific curriculum elements, such as cultural content hours and historical knowledge, as significant predictors of improved student performance.</w:t>
      </w:r>
    </w:p>
    <w:p w14:paraId="4A02D69B" w14:textId="77777777" w:rsidR="001A7483" w:rsidRDefault="007579C3">
      <w:pPr>
        <w:pStyle w:val="Heading4"/>
        <w:rPr>
          <w:color w:val="auto"/>
        </w:rPr>
      </w:pPr>
      <w:bookmarkStart w:id="18" w:name="qualitative-insights"/>
      <w:r>
        <w:rPr>
          <w:color w:val="auto"/>
        </w:rPr>
        <w:t>6.2 Qualitative Insights</w:t>
      </w:r>
      <w:bookmarkEnd w:id="18"/>
    </w:p>
    <w:p w14:paraId="69EFC21C" w14:textId="77777777" w:rsidR="001A7483" w:rsidRDefault="007579C3">
      <w:pPr>
        <w:pStyle w:val="FirstParagraph"/>
      </w:pPr>
      <w:r>
        <w:t>Thematic analysis of interviews and content anal</w:t>
      </w:r>
      <w:r>
        <w:t>ysis of literature underscored key themes, including enhanced cultural awareness, increased student engagement, and greater industry relevance. These qualitative findings corroborated the quantitative data, highlighting the multifaceted benefits of curricu</w:t>
      </w:r>
      <w:r>
        <w:t>lum reform.</w:t>
      </w:r>
    </w:p>
    <w:p w14:paraId="2DF6A927" w14:textId="77777777" w:rsidR="001A7483" w:rsidRDefault="007579C3">
      <w:pPr>
        <w:pStyle w:val="Heading4"/>
        <w:rPr>
          <w:color w:val="auto"/>
        </w:rPr>
      </w:pPr>
      <w:bookmarkStart w:id="19" w:name="contributions-to-the-field"/>
      <w:r>
        <w:rPr>
          <w:color w:val="auto"/>
        </w:rPr>
        <w:lastRenderedPageBreak/>
        <w:t>6.3 Contributions to the Field</w:t>
      </w:r>
      <w:bookmarkEnd w:id="19"/>
    </w:p>
    <w:p w14:paraId="6AC4161B" w14:textId="77777777" w:rsidR="001A7483" w:rsidRDefault="007579C3">
      <w:pPr>
        <w:pStyle w:val="FirstParagraph"/>
      </w:pPr>
      <w:r>
        <w:t>The contributions of this research to the field are substantial:</w:t>
      </w:r>
    </w:p>
    <w:p w14:paraId="7F90FAF2" w14:textId="77777777" w:rsidR="001A7483" w:rsidRDefault="007579C3">
      <w:pPr>
        <w:numPr>
          <w:ilvl w:val="0"/>
          <w:numId w:val="1"/>
        </w:numPr>
      </w:pPr>
      <w:r>
        <w:rPr>
          <w:b/>
        </w:rPr>
        <w:t>Theoretical Advancement</w:t>
      </w:r>
      <w:r>
        <w:t>: This study enriches the theoretical framework concerning the integration of cultural heritage in educational curricula, par</w:t>
      </w:r>
      <w:r>
        <w:t>ticularly within drama performance programs. It offers a nuanced understanding of how historical and cultural elements can be systematically embedded into academic structures to enhance educational outcomes.</w:t>
      </w:r>
    </w:p>
    <w:p w14:paraId="77F820C1" w14:textId="77777777" w:rsidR="001A7483" w:rsidRDefault="007579C3">
      <w:pPr>
        <w:numPr>
          <w:ilvl w:val="0"/>
          <w:numId w:val="1"/>
        </w:numPr>
      </w:pPr>
      <w:r>
        <w:rPr>
          <w:b/>
        </w:rPr>
        <w:t>Practical Implications</w:t>
      </w:r>
      <w:r>
        <w:t>: The research provides ac</w:t>
      </w:r>
      <w:r>
        <w:t>tionable insights for educators and curriculum designers. Identified best practices, such as incorporating cultural content and fostering industry collaborations, serve as a blueprint for similar reforms in other institutions.</w:t>
      </w:r>
    </w:p>
    <w:p w14:paraId="050D7C49" w14:textId="77777777" w:rsidR="001A7483" w:rsidRDefault="007579C3">
      <w:pPr>
        <w:pStyle w:val="Heading4"/>
        <w:rPr>
          <w:color w:val="auto"/>
        </w:rPr>
      </w:pPr>
      <w:bookmarkStart w:id="20" w:name="practical-application"/>
      <w:r>
        <w:rPr>
          <w:color w:val="auto"/>
        </w:rPr>
        <w:t>6.4 Practical Application</w:t>
      </w:r>
      <w:bookmarkEnd w:id="20"/>
    </w:p>
    <w:p w14:paraId="7165ACD8" w14:textId="77777777" w:rsidR="001A7483" w:rsidRDefault="007579C3">
      <w:pPr>
        <w:pStyle w:val="FirstParagraph"/>
      </w:pPr>
      <w:r>
        <w:t>The</w:t>
      </w:r>
      <w:r>
        <w:t xml:space="preserve"> practical application of these findings holds significant value:</w:t>
      </w:r>
    </w:p>
    <w:p w14:paraId="64A4E0BD" w14:textId="77777777" w:rsidR="001A7483" w:rsidRDefault="007579C3">
      <w:pPr>
        <w:numPr>
          <w:ilvl w:val="0"/>
          <w:numId w:val="1"/>
        </w:numPr>
      </w:pPr>
      <w:r>
        <w:rPr>
          <w:b/>
        </w:rPr>
        <w:t>Curriculum Design</w:t>
      </w:r>
      <w:r>
        <w:t>: Universities can utilize these insights to refine their drama performance programs, ensuring they not only teach technical skills but also cultivate a deep appreciation fo</w:t>
      </w:r>
      <w:r>
        <w:t>r cultural and historical contexts.</w:t>
      </w:r>
    </w:p>
    <w:p w14:paraId="244E9FAF" w14:textId="77777777" w:rsidR="001A7483" w:rsidRDefault="007579C3">
      <w:pPr>
        <w:numPr>
          <w:ilvl w:val="0"/>
          <w:numId w:val="1"/>
        </w:numPr>
      </w:pPr>
      <w:r>
        <w:rPr>
          <w:b/>
        </w:rPr>
        <w:t>Policy Recommendations</w:t>
      </w:r>
      <w:r>
        <w:t>: Educational policymakers can leverage this research to advocate for the integration of cultural heritage in broader educational reforms, emphasizing the holistic development of students.</w:t>
      </w:r>
    </w:p>
    <w:p w14:paraId="7750BB10" w14:textId="77777777" w:rsidR="001A7483" w:rsidRDefault="007579C3">
      <w:pPr>
        <w:numPr>
          <w:ilvl w:val="0"/>
          <w:numId w:val="1"/>
        </w:numPr>
      </w:pPr>
      <w:r>
        <w:rPr>
          <w:b/>
        </w:rPr>
        <w:t xml:space="preserve">Industry </w:t>
      </w:r>
      <w:r>
        <w:rPr>
          <w:b/>
        </w:rPr>
        <w:t>Collaboration</w:t>
      </w:r>
      <w:r>
        <w:t>: The study highlights the importance of bridging the gap between academia and the professional theater industry. Establishing ongoing collaborations can ensure that the curriculum remains relevant and responsive to industry needs.</w:t>
      </w:r>
    </w:p>
    <w:p w14:paraId="6F254162" w14:textId="77777777" w:rsidR="001A7483" w:rsidRDefault="007579C3">
      <w:pPr>
        <w:pStyle w:val="FirstParagraph"/>
      </w:pPr>
      <w:r>
        <w:t>In conclusi</w:t>
      </w:r>
      <w:r>
        <w:t>on, this research demonstrates that the thoughtful integration of historical and cultural heritage into drama performance curricula can significantly enhance student performance and engagement, while also increasing the program’s relevance to the industry.</w:t>
      </w:r>
      <w:r>
        <w:t xml:space="preserve"> The findings serve as a valuable resource for educators, policymakers, and industry professionals, paving the way for more culturally enriched and effective educational experiences in the field of drama performance.</w:t>
      </w:r>
    </w:p>
    <w:p w14:paraId="034A2E16" w14:textId="77777777" w:rsidR="001A7483" w:rsidRDefault="007579C3">
      <w:pPr>
        <w:pStyle w:val="Heading3"/>
        <w:rPr>
          <w:color w:val="auto"/>
        </w:rPr>
      </w:pPr>
      <w:bookmarkStart w:id="21" w:name="references"/>
      <w:r>
        <w:rPr>
          <w:color w:val="auto"/>
        </w:rPr>
        <w:t>References</w:t>
      </w:r>
      <w:bookmarkEnd w:id="21"/>
    </w:p>
    <w:p w14:paraId="4FD6C19B" w14:textId="77777777" w:rsidR="001A7483" w:rsidRDefault="007579C3">
      <w:pPr>
        <w:pStyle w:val="FirstParagraph"/>
      </w:pPr>
      <w:r>
        <w:t xml:space="preserve">[1] V. </w:t>
      </w:r>
      <w:proofErr w:type="spellStart"/>
      <w:r>
        <w:t>Hryniuk</w:t>
      </w:r>
      <w:proofErr w:type="spellEnd"/>
      <w:r>
        <w:t xml:space="preserve"> et al. (2023)</w:t>
      </w:r>
      <w:r>
        <w:t xml:space="preserve">. Assessment of the attractiveness of material objects of the historical and cultural heritage of the Carpathian region. </w:t>
      </w:r>
      <w:r>
        <w:rPr>
          <w:i/>
        </w:rPr>
        <w:t xml:space="preserve">Journal of Geology, Geography and </w:t>
      </w:r>
      <w:proofErr w:type="spellStart"/>
      <w:r>
        <w:rPr>
          <w:i/>
        </w:rPr>
        <w:t>Geoecology</w:t>
      </w:r>
      <w:proofErr w:type="spellEnd"/>
      <w:r>
        <w:t>. https://doi.org/10.15421/112325</w:t>
      </w:r>
    </w:p>
    <w:p w14:paraId="7CCE3950" w14:textId="77777777" w:rsidR="001A7483" w:rsidRDefault="007579C3">
      <w:pPr>
        <w:pStyle w:val="BodyText"/>
      </w:pPr>
      <w:r>
        <w:t xml:space="preserve">[2] </w:t>
      </w:r>
      <w:proofErr w:type="spellStart"/>
      <w:r>
        <w:t>Lyudmyla</w:t>
      </w:r>
      <w:proofErr w:type="spellEnd"/>
      <w:r>
        <w:t xml:space="preserve"> </w:t>
      </w:r>
      <w:proofErr w:type="spellStart"/>
      <w:r>
        <w:t>Arkhypova</w:t>
      </w:r>
      <w:proofErr w:type="spellEnd"/>
      <w:r>
        <w:t xml:space="preserve"> et al. (2022). Geography of visito</w:t>
      </w:r>
      <w:r>
        <w:t xml:space="preserve">rs to the historical and cultural heritage of the Carpathian region and prospects for the growth of tourist flows. </w:t>
      </w:r>
      <w:r>
        <w:rPr>
          <w:i/>
        </w:rPr>
        <w:t xml:space="preserve">Journal of Geology, Geography and </w:t>
      </w:r>
      <w:proofErr w:type="spellStart"/>
      <w:r>
        <w:rPr>
          <w:i/>
        </w:rPr>
        <w:t>Geoecology</w:t>
      </w:r>
      <w:proofErr w:type="spellEnd"/>
      <w:r>
        <w:t>. https://doi.org/10.15421/112219</w:t>
      </w:r>
    </w:p>
    <w:p w14:paraId="0E79B963" w14:textId="77777777" w:rsidR="001A7483" w:rsidRDefault="007579C3">
      <w:pPr>
        <w:pStyle w:val="BodyText"/>
      </w:pPr>
      <w:r>
        <w:lastRenderedPageBreak/>
        <w:t xml:space="preserve">[3] I. A. </w:t>
      </w:r>
      <w:proofErr w:type="spellStart"/>
      <w:r>
        <w:t>Khalikov</w:t>
      </w:r>
      <w:proofErr w:type="spellEnd"/>
      <w:r>
        <w:t xml:space="preserve"> (2023). Confiscation of elements of historic</w:t>
      </w:r>
      <w:r>
        <w:t xml:space="preserve">al and cultural heritage. </w:t>
      </w:r>
      <w:r>
        <w:rPr>
          <w:i/>
        </w:rPr>
        <w:t>Law Gazette of the Kuban State University</w:t>
      </w:r>
      <w:r>
        <w:t>. https://doi.org/10.31429/20785836-15-1-119-126</w:t>
      </w:r>
    </w:p>
    <w:p w14:paraId="6EC9C03D" w14:textId="77777777" w:rsidR="001A7483" w:rsidRDefault="007579C3">
      <w:pPr>
        <w:pStyle w:val="BodyText"/>
      </w:pPr>
      <w:r>
        <w:t xml:space="preserve">[4] </w:t>
      </w:r>
      <w:proofErr w:type="spellStart"/>
      <w:r>
        <w:t>Jieling</w:t>
      </w:r>
      <w:proofErr w:type="spellEnd"/>
      <w:r>
        <w:t xml:space="preserve"> Xu, Er Lee </w:t>
      </w:r>
      <w:proofErr w:type="spellStart"/>
      <w:r>
        <w:t>Siong</w:t>
      </w:r>
      <w:proofErr w:type="spellEnd"/>
      <w:r>
        <w:t xml:space="preserve"> (2022). The Historical and Cultural Heritage of Foshan </w:t>
      </w:r>
      <w:proofErr w:type="spellStart"/>
      <w:r>
        <w:t>Sangyuanwei</w:t>
      </w:r>
      <w:proofErr w:type="spellEnd"/>
      <w:r>
        <w:t xml:space="preserve">. </w:t>
      </w:r>
      <w:r>
        <w:rPr>
          <w:i/>
        </w:rPr>
        <w:t>Academic Journal of Humanities &amp; Social Sci</w:t>
      </w:r>
      <w:r>
        <w:rPr>
          <w:i/>
        </w:rPr>
        <w:t>ences</w:t>
      </w:r>
      <w:r>
        <w:t>. https://doi.org/10.25236/ajhss.2022.051518</w:t>
      </w:r>
    </w:p>
    <w:p w14:paraId="4CE0C39E" w14:textId="77777777" w:rsidR="001A7483" w:rsidRDefault="007579C3">
      <w:pPr>
        <w:pStyle w:val="BodyText"/>
      </w:pPr>
      <w:r>
        <w:t xml:space="preserve">[5] B. </w:t>
      </w:r>
      <w:proofErr w:type="spellStart"/>
      <w:r>
        <w:t>Chetverikov</w:t>
      </w:r>
      <w:proofErr w:type="spellEnd"/>
      <w:r>
        <w:t xml:space="preserve">, V. </w:t>
      </w:r>
      <w:proofErr w:type="spellStart"/>
      <w:r>
        <w:t>Hlotov</w:t>
      </w:r>
      <w:proofErr w:type="spellEnd"/>
      <w:r>
        <w:t xml:space="preserve"> (2024). Application of remote methods for the investigation of historical and cultural heritage objects. </w:t>
      </w:r>
      <w:r>
        <w:rPr>
          <w:i/>
        </w:rPr>
        <w:t>Modern achievements of geodesic science and industry</w:t>
      </w:r>
      <w:r>
        <w:t>. https://doi.org/1</w:t>
      </w:r>
      <w:r>
        <w:t>0.33841/1819-1339-1-47-140-148</w:t>
      </w:r>
    </w:p>
    <w:p w14:paraId="65BD6E1F" w14:textId="77777777" w:rsidR="001A7483" w:rsidRDefault="007579C3">
      <w:pPr>
        <w:pStyle w:val="BodyText"/>
      </w:pPr>
      <w:r>
        <w:t xml:space="preserve">[6] Wei Sun et al. (2021). Research on Key Technologies of Three-dimensional Digital Reconstruction of Cultural Heritage in Historical and Cultural Blocks. </w:t>
      </w:r>
      <w:r>
        <w:rPr>
          <w:i/>
        </w:rPr>
        <w:t>2021 International Conference on Computer Technology and Media Conver</w:t>
      </w:r>
      <w:r>
        <w:rPr>
          <w:i/>
        </w:rPr>
        <w:t>gence Design (CTMCD)</w:t>
      </w:r>
      <w:r>
        <w:t>, 222-226. https://doi.org/10.1109/CTMCD53128.2021.00054</w:t>
      </w:r>
    </w:p>
    <w:p w14:paraId="2F36806B" w14:textId="77777777" w:rsidR="001A7483" w:rsidRDefault="007579C3">
      <w:pPr>
        <w:pStyle w:val="BodyText"/>
      </w:pPr>
      <w:r>
        <w:t xml:space="preserve">[7] Alina </w:t>
      </w:r>
      <w:proofErr w:type="spellStart"/>
      <w:r>
        <w:t>Kharitonova</w:t>
      </w:r>
      <w:proofErr w:type="spellEnd"/>
      <w:r>
        <w:t xml:space="preserve"> (2021). HISTORICAL AND CULTURAL HERITAGE OF SETTLEMENTS. </w:t>
      </w:r>
      <w:r>
        <w:rPr>
          <w:i/>
        </w:rPr>
        <w:t>Problems of theory and history of architecture of Ukraine</w:t>
      </w:r>
      <w:r>
        <w:t xml:space="preserve">. </w:t>
      </w:r>
      <w:r>
        <w:t>https://doi.org/10.31650/2519-4208-2021-21-44-50</w:t>
      </w:r>
    </w:p>
    <w:p w14:paraId="58E94496" w14:textId="77777777" w:rsidR="001A7483" w:rsidRDefault="007579C3">
      <w:pPr>
        <w:pStyle w:val="BodyText"/>
      </w:pPr>
      <w:r>
        <w:t xml:space="preserve">[8] Wang Yan (2021). On Historical and Cultural Heritage and Urban Development. </w:t>
      </w:r>
      <w:r>
        <w:rPr>
          <w:i/>
        </w:rPr>
        <w:t>Historical and Cultural Exploration</w:t>
      </w:r>
      <w:r>
        <w:t>. https://doi.org/10.35534/hce.0101001</w:t>
      </w:r>
    </w:p>
    <w:p w14:paraId="07F925C8" w14:textId="77777777" w:rsidR="001A7483" w:rsidRDefault="007579C3">
      <w:pPr>
        <w:pStyle w:val="BodyText"/>
      </w:pPr>
      <w:r>
        <w:t xml:space="preserve">[9] </w:t>
      </w:r>
      <w:proofErr w:type="spellStart"/>
      <w:r>
        <w:t>Zhanna</w:t>
      </w:r>
      <w:proofErr w:type="spellEnd"/>
      <w:r>
        <w:t xml:space="preserve"> Myna et al. (2020). Analysis of the Essenc</w:t>
      </w:r>
      <w:r>
        <w:t xml:space="preserve">e of Social Networks as a Tool for Mediatization of the Historical and Cultural Heritage of Museums. </w:t>
      </w:r>
      <w:r>
        <w:rPr>
          <w:i/>
        </w:rPr>
        <w:t xml:space="preserve">International Workshop on Control, </w:t>
      </w:r>
      <w:proofErr w:type="spellStart"/>
      <w:r>
        <w:rPr>
          <w:i/>
        </w:rPr>
        <w:t>Optimisation</w:t>
      </w:r>
      <w:proofErr w:type="spellEnd"/>
      <w:r>
        <w:rPr>
          <w:i/>
        </w:rPr>
        <w:t xml:space="preserve"> and Analytical Processing of Social Networks</w:t>
      </w:r>
      <w:r>
        <w:t>, 199-213.</w:t>
      </w:r>
    </w:p>
    <w:p w14:paraId="7C2B23B9" w14:textId="77777777" w:rsidR="001A7483" w:rsidRDefault="007579C3">
      <w:pPr>
        <w:pStyle w:val="BodyText"/>
      </w:pPr>
      <w:r>
        <w:t xml:space="preserve">[10] Eva </w:t>
      </w:r>
      <w:proofErr w:type="spellStart"/>
      <w:r>
        <w:t>Österlind</w:t>
      </w:r>
      <w:proofErr w:type="spellEnd"/>
      <w:r>
        <w:t xml:space="preserve"> (2011). ‘What Theatre is All Abou</w:t>
      </w:r>
      <w:r>
        <w:t xml:space="preserve">t’: Students’ Experiences of the Swedish Theatre Arts Program. </w:t>
      </w:r>
      <w:r>
        <w:rPr>
          <w:i/>
        </w:rPr>
        <w:t>Youth Theatre Journal</w:t>
      </w:r>
      <w:r>
        <w:t>, 25, 75 - 86. https://doi.org/10.1080/08929092.2011.569473</w:t>
      </w:r>
    </w:p>
    <w:p w14:paraId="1E0667A5" w14:textId="77777777" w:rsidR="001A7483" w:rsidRDefault="007579C3">
      <w:pPr>
        <w:pStyle w:val="BodyText"/>
      </w:pPr>
      <w:r>
        <w:t>[11] M. Yoda (2012). Drama-in-Education and Henry Caldwell Cook</w:t>
      </w:r>
    </w:p>
    <w:p w14:paraId="76C2ED18" w14:textId="77777777" w:rsidR="001A7483" w:rsidRDefault="007579C3">
      <w:pPr>
        <w:pStyle w:val="BodyText"/>
      </w:pPr>
      <w:r>
        <w:t>[12] Liu Ping-hu (2014). From Acting to Performa</w:t>
      </w:r>
      <w:r>
        <w:t xml:space="preserve">nce: Curriculum Reform and The Generation of Teachers’ Personality. </w:t>
      </w:r>
      <w:r>
        <w:rPr>
          <w:i/>
        </w:rPr>
        <w:t>University Education Science</w:t>
      </w:r>
      <w:r>
        <w:t>.</w:t>
      </w:r>
    </w:p>
    <w:p w14:paraId="2F0EAEDA" w14:textId="77777777" w:rsidR="001A7483" w:rsidRDefault="007579C3">
      <w:pPr>
        <w:pStyle w:val="BodyText"/>
      </w:pPr>
      <w:r>
        <w:t xml:space="preserve">[13] Nan Jia, </w:t>
      </w:r>
      <w:proofErr w:type="spellStart"/>
      <w:r>
        <w:t>Feiyuan</w:t>
      </w:r>
      <w:proofErr w:type="spellEnd"/>
      <w:r>
        <w:t xml:space="preserve"> Liu (2023). Exploration of the teaching reform of costume performance major from the perspective of “curriculum ideology and politics”. </w:t>
      </w:r>
      <w:r>
        <w:rPr>
          <w:i/>
        </w:rPr>
        <w:t>Region - Educational Research and Reviews</w:t>
      </w:r>
      <w:r>
        <w:t>. https://doi.org/10.32629/rerr.v5i4.1393</w:t>
      </w:r>
    </w:p>
    <w:p w14:paraId="6156A1DB" w14:textId="77777777" w:rsidR="001A7483" w:rsidRDefault="007579C3">
      <w:pPr>
        <w:pStyle w:val="BodyText"/>
      </w:pPr>
      <w:r>
        <w:t xml:space="preserve">[14] J. Muller, U. Hoadley (2019). Curriculum Reform and Learner Performance: An Obstinate Paradox in the Quest for Equality. </w:t>
      </w:r>
      <w:r>
        <w:rPr>
          <w:i/>
        </w:rPr>
        <w:t xml:space="preserve">South African Schooling: The Enigma of </w:t>
      </w:r>
      <w:r>
        <w:rPr>
          <w:i/>
        </w:rPr>
        <w:t>Inequality</w:t>
      </w:r>
      <w:r>
        <w:t>. https://doi.org/10.1007/978-3-030-18811-5_6</w:t>
      </w:r>
    </w:p>
    <w:p w14:paraId="538C4565" w14:textId="77777777" w:rsidR="001A7483" w:rsidRDefault="007579C3">
      <w:pPr>
        <w:pStyle w:val="BodyText"/>
      </w:pPr>
      <w:r>
        <w:t xml:space="preserve">[15] </w:t>
      </w:r>
      <w:proofErr w:type="spellStart"/>
      <w:r>
        <w:t>Ankui</w:t>
      </w:r>
      <w:proofErr w:type="spellEnd"/>
      <w:r>
        <w:t xml:space="preserve"> Hu et al. (2023). Engineering Curriculum Reform Based on Outcome-Based Education and Five-Color Psychology Theory. </w:t>
      </w:r>
      <w:r>
        <w:rPr>
          <w:i/>
        </w:rPr>
        <w:t>Sustainability</w:t>
      </w:r>
      <w:r>
        <w:t>. https://doi.org/10.3390/su15118915</w:t>
      </w:r>
    </w:p>
    <w:p w14:paraId="474F10AD" w14:textId="77777777" w:rsidR="001A7483" w:rsidRDefault="007579C3">
      <w:pPr>
        <w:pStyle w:val="BodyText"/>
      </w:pPr>
      <w:r>
        <w:t xml:space="preserve">[16] </w:t>
      </w:r>
      <w:proofErr w:type="spellStart"/>
      <w:r>
        <w:t>Shoukai</w:t>
      </w:r>
      <w:proofErr w:type="spellEnd"/>
      <w:r>
        <w:t xml:space="preserve"> Chen (2023</w:t>
      </w:r>
      <w:r>
        <w:t>). Research on the Curriculum Reform of Exploration on “Water Conservancy Engineering Construction” under the Guidance of Industry-University-</w:t>
      </w:r>
      <w:r>
        <w:lastRenderedPageBreak/>
        <w:t xml:space="preserve">Research. </w:t>
      </w:r>
      <w:r>
        <w:rPr>
          <w:i/>
        </w:rPr>
        <w:t>Academic Journal of Humanities &amp; Social Sciences</w:t>
      </w:r>
      <w:r>
        <w:t>. https://doi.org/10.25236/ajhss.2023.061319</w:t>
      </w:r>
    </w:p>
    <w:p w14:paraId="3F3FA6A6" w14:textId="77777777" w:rsidR="001A7483" w:rsidRDefault="007579C3">
      <w:pPr>
        <w:pStyle w:val="BodyText"/>
      </w:pPr>
      <w:r>
        <w:t>[17] Ying W</w:t>
      </w:r>
      <w:r>
        <w:t xml:space="preserve">ang et al. (2023). Practice of Electrical Specialty Curriculum Reform from the Perspective of Engineering Certification. </w:t>
      </w:r>
      <w:r>
        <w:rPr>
          <w:i/>
        </w:rPr>
        <w:t>Curriculum and Teaching Methodology</w:t>
      </w:r>
      <w:r>
        <w:t>. https://doi.org/10.23977/curtm.2023.062205</w:t>
      </w:r>
    </w:p>
    <w:p w14:paraId="07E8F411" w14:textId="77777777" w:rsidR="001A7483" w:rsidRDefault="007579C3">
      <w:pPr>
        <w:pStyle w:val="BodyText"/>
      </w:pPr>
      <w:r>
        <w:t xml:space="preserve">[18] Simona </w:t>
      </w:r>
      <w:proofErr w:type="spellStart"/>
      <w:r>
        <w:t>Floare</w:t>
      </w:r>
      <w:proofErr w:type="spellEnd"/>
      <w:r>
        <w:t xml:space="preserve"> Bora (2022). Drama pedagogy in forei</w:t>
      </w:r>
      <w:r>
        <w:t xml:space="preserve">gn language learning: investigating the impact of theatre texts and theatre performance on L2 speaking accuracy and complexity. </w:t>
      </w:r>
      <w:r>
        <w:rPr>
          <w:i/>
        </w:rPr>
        <w:t>Research in Drama Education: The Journal of Applied Theatre and Performance</w:t>
      </w:r>
      <w:r>
        <w:t>, 27, 507 - 523. https://doi.org/10.1080/13569783.202</w:t>
      </w:r>
      <w:r>
        <w:t>1.2019578</w:t>
      </w:r>
    </w:p>
    <w:p w14:paraId="0EE7E7C7" w14:textId="77777777" w:rsidR="001A7483" w:rsidRDefault="007579C3">
      <w:pPr>
        <w:pStyle w:val="BodyText"/>
      </w:pPr>
      <w:r>
        <w:t xml:space="preserve">[19] Yu Xia (2023). Quantitative Evaluation of Domestic Cultural and Tourism Integration Policies Based on PMC Index Modeling. </w:t>
      </w:r>
      <w:r>
        <w:rPr>
          <w:i/>
        </w:rPr>
        <w:t>Applied Mathematics and Nonlinear Sciences</w:t>
      </w:r>
      <w:r>
        <w:t>, 9. https://doi.org/10.2478/amns.2023.2.01687</w:t>
      </w:r>
    </w:p>
    <w:p w14:paraId="71B36839" w14:textId="77777777" w:rsidR="001A7483" w:rsidRDefault="007579C3">
      <w:pPr>
        <w:pStyle w:val="BodyText"/>
      </w:pPr>
      <w:r>
        <w:t xml:space="preserve">[20] </w:t>
      </w:r>
      <w:proofErr w:type="spellStart"/>
      <w:r>
        <w:t>Yiting</w:t>
      </w:r>
      <w:proofErr w:type="spellEnd"/>
      <w:r>
        <w:t xml:space="preserve"> Zhang (2023). A St</w:t>
      </w:r>
      <w:r>
        <w:t xml:space="preserve">rategic Study on the Effective Communication of </w:t>
      </w:r>
      <w:proofErr w:type="spellStart"/>
      <w:r>
        <w:t>Zhaoming</w:t>
      </w:r>
      <w:proofErr w:type="spellEnd"/>
      <w:r>
        <w:t xml:space="preserve"> Academy Culture from the Perspective of Cultural and Tourism Integration. </w:t>
      </w:r>
      <w:r>
        <w:rPr>
          <w:i/>
        </w:rPr>
        <w:t>International Journal of Education and Humanities</w:t>
      </w:r>
      <w:r>
        <w:t>. https://doi.org/10.54097/ijeh.v8i3.8329</w:t>
      </w:r>
    </w:p>
    <w:p w14:paraId="0AB255FC" w14:textId="77777777" w:rsidR="001A7483" w:rsidRDefault="007579C3">
      <w:pPr>
        <w:pStyle w:val="BodyText"/>
      </w:pPr>
      <w:r>
        <w:t>[21] Jia Zhou (2023). Study on the</w:t>
      </w:r>
      <w:r>
        <w:t xml:space="preserve"> Cultural Communication Strategy of </w:t>
      </w:r>
      <w:proofErr w:type="spellStart"/>
      <w:r>
        <w:t>Zhenyi</w:t>
      </w:r>
      <w:proofErr w:type="spellEnd"/>
      <w:r>
        <w:t xml:space="preserve"> Academy from the Perspective of Cultural and Tourism Integration. </w:t>
      </w:r>
      <w:r>
        <w:rPr>
          <w:i/>
        </w:rPr>
        <w:t>International Journal of Education and Humanities</w:t>
      </w:r>
      <w:r>
        <w:t>. https://doi.org/10.54097/ijeh.v11i2.13555</w:t>
      </w:r>
    </w:p>
    <w:p w14:paraId="76996103" w14:textId="77777777" w:rsidR="001A7483" w:rsidRDefault="007579C3">
      <w:pPr>
        <w:pStyle w:val="BodyText"/>
      </w:pPr>
      <w:r>
        <w:t xml:space="preserve">[22] </w:t>
      </w:r>
      <w:proofErr w:type="spellStart"/>
      <w:r>
        <w:t>Shule</w:t>
      </w:r>
      <w:proofErr w:type="spellEnd"/>
      <w:r>
        <w:t xml:space="preserve"> Li (2023). Research on the Application Stra</w:t>
      </w:r>
      <w:r>
        <w:t xml:space="preserve">tegy of Miao Pattern in Packaging Design under the Background of Cultural and Tourism Integration. </w:t>
      </w:r>
      <w:r>
        <w:rPr>
          <w:i/>
        </w:rPr>
        <w:t>Art and Design Review</w:t>
      </w:r>
      <w:r>
        <w:t>. https://doi.org/10.4236/adr.2023.114023</w:t>
      </w:r>
    </w:p>
    <w:p w14:paraId="752BA054" w14:textId="77777777" w:rsidR="001A7483" w:rsidRDefault="007579C3">
      <w:pPr>
        <w:pStyle w:val="BodyText"/>
      </w:pPr>
      <w:r>
        <w:t xml:space="preserve">[23] Bo Liu, </w:t>
      </w:r>
      <w:proofErr w:type="spellStart"/>
      <w:r>
        <w:t>Pingfan</w:t>
      </w:r>
      <w:proofErr w:type="spellEnd"/>
      <w:r>
        <w:t xml:space="preserve"> Pi (2023). Research on the High-quality Development Path of Tourism in th</w:t>
      </w:r>
      <w:r>
        <w:t xml:space="preserve">e Guangdong-Hong Kong-Macao Greater Bay Area under the Background of Cultural and Tourism Integration: The Mediating Effect of Tourist Satisfaction. </w:t>
      </w:r>
      <w:r>
        <w:rPr>
          <w:i/>
        </w:rPr>
        <w:t>Advances in Education, Humanities and Social Science Research</w:t>
      </w:r>
      <w:r>
        <w:t>. https://doi.org/10.56028/aehssr.5.1.173.2023</w:t>
      </w:r>
    </w:p>
    <w:p w14:paraId="25B2BA9E" w14:textId="77777777" w:rsidR="001A7483" w:rsidRDefault="007579C3">
      <w:pPr>
        <w:pStyle w:val="BodyText"/>
      </w:pPr>
      <w:r>
        <w:t xml:space="preserve">[24] Wang Ting, Liu Dan (2023). Research on the promotion path of Bengbu time-honored brand image from the perspective of cultural and tourism integration. </w:t>
      </w:r>
      <w:r>
        <w:rPr>
          <w:i/>
        </w:rPr>
        <w:t>Tourism Management and Technology Economy</w:t>
      </w:r>
      <w:r>
        <w:t>. https://doi.org/10.23977/tmte.2023.060605</w:t>
      </w:r>
    </w:p>
    <w:p w14:paraId="54ADFBDD" w14:textId="77777777" w:rsidR="001A7483" w:rsidRDefault="007579C3">
      <w:pPr>
        <w:pStyle w:val="BodyText"/>
      </w:pPr>
      <w:r>
        <w:t xml:space="preserve">[25] </w:t>
      </w:r>
      <w:proofErr w:type="spellStart"/>
      <w:r>
        <w:t>Weijin</w:t>
      </w:r>
      <w:proofErr w:type="spellEnd"/>
      <w:r>
        <w:t xml:space="preserve"> Sh</w:t>
      </w:r>
      <w:r>
        <w:t xml:space="preserve">an et al. (2023). Research on the Development Path of Cultural Resources on the Grand Canal Poetry Road (Jiaxing Section) under the Background of Cultural and Tourism Integration. </w:t>
      </w:r>
      <w:r>
        <w:rPr>
          <w:i/>
        </w:rPr>
        <w:t>Media and Communication Research</w:t>
      </w:r>
      <w:r>
        <w:t>. https://doi.org/10.23977/mediacr.2023.0409</w:t>
      </w:r>
      <w:r>
        <w:t>06</w:t>
      </w:r>
    </w:p>
    <w:p w14:paraId="31A43D87" w14:textId="77777777" w:rsidR="001A7483" w:rsidRDefault="007579C3">
      <w:pPr>
        <w:pStyle w:val="BodyText"/>
      </w:pPr>
      <w:r>
        <w:t xml:space="preserve">[26] Chunhui Dong et al. (2023). The Construction of Foshan Consumption Center City from the Perspective of Cultural and Tourism Integration. </w:t>
      </w:r>
      <w:r>
        <w:rPr>
          <w:i/>
        </w:rPr>
        <w:t>Scientific and Social Research</w:t>
      </w:r>
      <w:r>
        <w:t>. https://doi.org/10.26689/ssr.v5i6.5067</w:t>
      </w:r>
    </w:p>
    <w:p w14:paraId="04D941A2" w14:textId="77777777" w:rsidR="001A7483" w:rsidRDefault="007579C3">
      <w:pPr>
        <w:pStyle w:val="BodyText"/>
      </w:pPr>
      <w:r>
        <w:t xml:space="preserve">[27] </w:t>
      </w:r>
      <w:proofErr w:type="spellStart"/>
      <w:r>
        <w:t>Huanmin</w:t>
      </w:r>
      <w:proofErr w:type="spellEnd"/>
      <w:r>
        <w:t xml:space="preserve"> Zheng (2024). Research on D</w:t>
      </w:r>
      <w:r>
        <w:t xml:space="preserve">igital Publicity Strategy of Jingdezhen Ceramic Culture Characteristic Scenic Area under the Background of Cultural and Tourism </w:t>
      </w:r>
      <w:r>
        <w:lastRenderedPageBreak/>
        <w:t xml:space="preserve">Integration. </w:t>
      </w:r>
      <w:r>
        <w:rPr>
          <w:i/>
        </w:rPr>
        <w:t>Media and Communication Research</w:t>
      </w:r>
      <w:r>
        <w:t>. https://doi.org/10.23977/mediacr.2024.050104</w:t>
      </w:r>
    </w:p>
    <w:sectPr w:rsidR="001A7483">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A525A" w14:textId="77777777" w:rsidR="007579C3" w:rsidRDefault="007579C3">
      <w:pPr>
        <w:spacing w:after="0"/>
      </w:pPr>
      <w:r>
        <w:separator/>
      </w:r>
    </w:p>
  </w:endnote>
  <w:endnote w:type="continuationSeparator" w:id="0">
    <w:p w14:paraId="1C1994DC" w14:textId="77777777" w:rsidR="007579C3" w:rsidRDefault="007579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737787"/>
      <w:docPartObj>
        <w:docPartGallery w:val="Page Numbers (Bottom of Page)"/>
        <w:docPartUnique/>
      </w:docPartObj>
    </w:sdtPr>
    <w:sdtEndPr>
      <w:rPr>
        <w:noProof/>
      </w:rPr>
    </w:sdtEndPr>
    <w:sdtContent>
      <w:p w14:paraId="7BE1078E" w14:textId="2C0B00D1" w:rsidR="00A76DEF" w:rsidRDefault="00A76D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127D5D" w14:textId="77777777" w:rsidR="00A76DEF" w:rsidRDefault="00A76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85EC9" w14:textId="77777777" w:rsidR="007579C3" w:rsidRDefault="007579C3">
      <w:pPr>
        <w:spacing w:after="0"/>
      </w:pPr>
      <w:r>
        <w:separator/>
      </w:r>
    </w:p>
  </w:footnote>
  <w:footnote w:type="continuationSeparator" w:id="0">
    <w:p w14:paraId="4B104F56" w14:textId="77777777" w:rsidR="007579C3" w:rsidRDefault="007579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6A89F4"/>
    <w:multiLevelType w:val="singleLevel"/>
    <w:tmpl w:val="D46A89F4"/>
    <w:lvl w:ilvl="0">
      <w:start w:val="1"/>
      <w:numFmt w:val="decimal"/>
      <w:suff w:val="space"/>
      <w:lvlText w:val="%1."/>
      <w:lvlJc w:val="left"/>
    </w:lvl>
  </w:abstractNum>
  <w:abstractNum w:abstractNumId="1" w15:restartNumberingAfterBreak="0">
    <w:nsid w:val="EA454B4C"/>
    <w:multiLevelType w:val="multilevel"/>
    <w:tmpl w:val="EA454B4C"/>
    <w:lvl w:ilvl="0">
      <w:numFmt w:val="bullet"/>
      <w:lvlText w:val="•"/>
      <w:lvlJc w:val="left"/>
      <w:pPr>
        <w:tabs>
          <w:tab w:val="left" w:pos="0"/>
        </w:tabs>
        <w:ind w:left="480" w:hanging="480"/>
      </w:pPr>
    </w:lvl>
    <w:lvl w:ilvl="1">
      <w:numFmt w:val="bullet"/>
      <w:lvlText w:val="–"/>
      <w:lvlJc w:val="left"/>
      <w:pPr>
        <w:tabs>
          <w:tab w:val="left" w:pos="720"/>
        </w:tabs>
        <w:ind w:left="1200" w:hanging="480"/>
      </w:pPr>
    </w:lvl>
    <w:lvl w:ilvl="2">
      <w:numFmt w:val="bullet"/>
      <w:lvlText w:val="•"/>
      <w:lvlJc w:val="left"/>
      <w:pPr>
        <w:tabs>
          <w:tab w:val="left" w:pos="1440"/>
        </w:tabs>
        <w:ind w:left="1920" w:hanging="480"/>
      </w:pPr>
    </w:lvl>
    <w:lvl w:ilvl="3">
      <w:numFmt w:val="bullet"/>
      <w:lvlText w:val="–"/>
      <w:lvlJc w:val="left"/>
      <w:pPr>
        <w:tabs>
          <w:tab w:val="left" w:pos="2160"/>
        </w:tabs>
        <w:ind w:left="2640" w:hanging="480"/>
      </w:pPr>
    </w:lvl>
    <w:lvl w:ilvl="4">
      <w:numFmt w:val="bullet"/>
      <w:lvlText w:val="•"/>
      <w:lvlJc w:val="left"/>
      <w:pPr>
        <w:tabs>
          <w:tab w:val="left" w:pos="2880"/>
        </w:tabs>
        <w:ind w:left="3360" w:hanging="480"/>
      </w:pPr>
    </w:lvl>
    <w:lvl w:ilvl="5">
      <w:numFmt w:val="bullet"/>
      <w:lvlText w:val="–"/>
      <w:lvlJc w:val="left"/>
      <w:pPr>
        <w:tabs>
          <w:tab w:val="left" w:pos="3600"/>
        </w:tabs>
        <w:ind w:left="4080" w:hanging="480"/>
      </w:pPr>
    </w:lvl>
    <w:lvl w:ilvl="6">
      <w:numFmt w:val="bullet"/>
      <w:lvlText w:val="•"/>
      <w:lvlJc w:val="left"/>
      <w:pPr>
        <w:tabs>
          <w:tab w:val="left" w:pos="4320"/>
        </w:tabs>
        <w:ind w:left="4800" w:hanging="480"/>
      </w:pPr>
    </w:lvl>
    <w:lvl w:ilvl="7">
      <w:numFmt w:val="bullet"/>
      <w:lvlText w:val="–"/>
      <w:lvlJc w:val="left"/>
      <w:pPr>
        <w:tabs>
          <w:tab w:val="left" w:pos="5040"/>
        </w:tabs>
        <w:ind w:left="5520" w:hanging="480"/>
      </w:pPr>
    </w:lvl>
    <w:lvl w:ilvl="8">
      <w:numFmt w:val="bullet"/>
      <w:lvlText w:val="•"/>
      <w:lvlJc w:val="left"/>
      <w:pPr>
        <w:tabs>
          <w:tab w:val="left" w:pos="5760"/>
        </w:tabs>
        <w:ind w:left="6240" w:hanging="480"/>
      </w:pPr>
    </w:lvl>
  </w:abstractNum>
  <w:abstractNum w:abstractNumId="2" w15:restartNumberingAfterBreak="0">
    <w:nsid w:val="71315DCA"/>
    <w:multiLevelType w:val="multilevel"/>
    <w:tmpl w:val="71315DCA"/>
    <w:lvl w:ilvl="0">
      <w:start w:val="1"/>
      <w:numFmt w:val="decimal"/>
      <w:lvlText w:val="%1."/>
      <w:lvlJc w:val="left"/>
      <w:pPr>
        <w:tabs>
          <w:tab w:val="left" w:pos="0"/>
        </w:tabs>
        <w:ind w:left="480" w:hanging="480"/>
      </w:pPr>
    </w:lvl>
    <w:lvl w:ilvl="1">
      <w:start w:val="1"/>
      <w:numFmt w:val="decimal"/>
      <w:lvlText w:val="%2."/>
      <w:lvlJc w:val="left"/>
      <w:pPr>
        <w:tabs>
          <w:tab w:val="left" w:pos="720"/>
        </w:tabs>
        <w:ind w:left="1200" w:hanging="480"/>
      </w:pPr>
    </w:lvl>
    <w:lvl w:ilvl="2">
      <w:start w:val="1"/>
      <w:numFmt w:val="decimal"/>
      <w:lvlText w:val="%3."/>
      <w:lvlJc w:val="left"/>
      <w:pPr>
        <w:tabs>
          <w:tab w:val="left" w:pos="1440"/>
        </w:tabs>
        <w:ind w:left="1920" w:hanging="480"/>
      </w:pPr>
    </w:lvl>
    <w:lvl w:ilvl="3">
      <w:start w:val="1"/>
      <w:numFmt w:val="decimal"/>
      <w:lvlText w:val="%4."/>
      <w:lvlJc w:val="left"/>
      <w:pPr>
        <w:tabs>
          <w:tab w:val="left" w:pos="2160"/>
        </w:tabs>
        <w:ind w:left="2640" w:hanging="480"/>
      </w:pPr>
    </w:lvl>
    <w:lvl w:ilvl="4">
      <w:start w:val="1"/>
      <w:numFmt w:val="decimal"/>
      <w:lvlText w:val="%5."/>
      <w:lvlJc w:val="left"/>
      <w:pPr>
        <w:tabs>
          <w:tab w:val="left" w:pos="2880"/>
        </w:tabs>
        <w:ind w:left="3360" w:hanging="480"/>
      </w:pPr>
    </w:lvl>
    <w:lvl w:ilvl="5">
      <w:start w:val="1"/>
      <w:numFmt w:val="decimal"/>
      <w:lvlText w:val="%6."/>
      <w:lvlJc w:val="left"/>
      <w:pPr>
        <w:tabs>
          <w:tab w:val="left" w:pos="3600"/>
        </w:tabs>
        <w:ind w:left="4080" w:hanging="480"/>
      </w:pPr>
    </w:lvl>
    <w:lvl w:ilvl="6">
      <w:start w:val="1"/>
      <w:numFmt w:val="decimal"/>
      <w:lvlText w:val="%7."/>
      <w:lvlJc w:val="left"/>
      <w:pPr>
        <w:tabs>
          <w:tab w:val="left" w:pos="4320"/>
        </w:tabs>
        <w:ind w:left="4800" w:hanging="480"/>
      </w:pPr>
    </w:lvl>
    <w:lvl w:ilvl="7">
      <w:start w:val="1"/>
      <w:numFmt w:val="decimal"/>
      <w:lvlText w:val="%8."/>
      <w:lvlJc w:val="left"/>
      <w:pPr>
        <w:tabs>
          <w:tab w:val="left" w:pos="5040"/>
        </w:tabs>
        <w:ind w:left="5520" w:hanging="480"/>
      </w:pPr>
    </w:lvl>
    <w:lvl w:ilvl="8">
      <w:start w:val="1"/>
      <w:numFmt w:val="decimal"/>
      <w:lvlText w:val="%9."/>
      <w:lvlJc w:val="left"/>
      <w:pPr>
        <w:tabs>
          <w:tab w:val="left" w:pos="5760"/>
        </w:tabs>
        <w:ind w:left="6240" w:hanging="4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rawingGridHorizontalSpacing w:val="360"/>
  <w:drawingGridVerticalSpacing w:val="36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NlNWIzOWE4ZDFkMDQzNzg2MGEyZjJlN2I4NDM2OTAifQ=="/>
  </w:docVars>
  <w:rsids>
    <w:rsidRoot w:val="00590D07"/>
    <w:rsid w:val="00011C8B"/>
    <w:rsid w:val="001A7483"/>
    <w:rsid w:val="004E29B3"/>
    <w:rsid w:val="00590D07"/>
    <w:rsid w:val="007579C3"/>
    <w:rsid w:val="00784D58"/>
    <w:rsid w:val="008B2B5A"/>
    <w:rsid w:val="008D6863"/>
    <w:rsid w:val="00A76DEF"/>
    <w:rsid w:val="00B86B75"/>
    <w:rsid w:val="00BC48D5"/>
    <w:rsid w:val="00C36279"/>
    <w:rsid w:val="00E315A3"/>
    <w:rsid w:val="29221BD2"/>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5283F"/>
  <w15:docId w15:val="{1CF7853B-D615-4ACA-BC6F-AD866E25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footnote text" w:uiPriority="9" w:unhideWhenUsed="1" w:qFormat="1"/>
    <w:lsdException w:name="footer" w:uiPriority="99"/>
    <w:lsdException w:name="caption" w:qFormat="1"/>
    <w:lsdException w:name="Title" w:qFormat="1"/>
    <w:lsdException w:name="Default Paragraph Font" w:semiHidden="1" w:unhideWhenUsed="1"/>
    <w:lsdException w:name="Body Text" w:qFormat="1"/>
    <w:lsdException w:name="Subtitle" w:qFormat="1"/>
    <w:lsdException w:name="Date" w:qFormat="1"/>
    <w:lsdException w:name="Block Text" w:uiPriority="9" w:unhideWhenUsed="1"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rFonts w:asciiTheme="minorHAnsi" w:eastAsiaTheme="minorHAnsi" w:hAnsiTheme="minorHAnsi" w:cstheme="minorBidi"/>
      <w:sz w:val="24"/>
      <w:szCs w:val="24"/>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styleId="Caption">
    <w:name w:val="caption"/>
    <w:basedOn w:val="Normal"/>
    <w:qFormat/>
    <w:pPr>
      <w:spacing w:after="120"/>
    </w:pPr>
    <w:rPr>
      <w:i/>
    </w:rPr>
  </w:style>
  <w:style w:type="paragraph" w:styleId="BlockText">
    <w:name w:val="Block Text"/>
    <w:basedOn w:val="BodyText"/>
    <w:next w:val="BodyText"/>
    <w:uiPriority w:val="9"/>
    <w:unhideWhenUsed/>
    <w:qFormat/>
    <w:pPr>
      <w:spacing w:before="100" w:after="100"/>
      <w:ind w:left="480" w:right="480"/>
    </w:pPr>
  </w:style>
  <w:style w:type="paragraph" w:styleId="Date">
    <w:name w:val="Date"/>
    <w:next w:val="BodyText"/>
    <w:qFormat/>
    <w:pPr>
      <w:keepNext/>
      <w:keepLines/>
      <w:spacing w:after="200"/>
      <w:jc w:val="center"/>
    </w:pPr>
    <w:rPr>
      <w:rFonts w:asciiTheme="minorHAnsi" w:eastAsiaTheme="minorHAnsi" w:hAnsiTheme="minorHAnsi" w:cstheme="minorBidi"/>
      <w:sz w:val="24"/>
      <w:szCs w:val="24"/>
    </w:rPr>
  </w:style>
  <w:style w:type="paragraph" w:styleId="Subtitle">
    <w:name w:val="Subtitle"/>
    <w:basedOn w:val="Title"/>
    <w:next w:val="BodyText"/>
    <w:qFormat/>
    <w:pPr>
      <w:spacing w:before="240"/>
    </w:pPr>
    <w:rPr>
      <w:sz w:val="30"/>
      <w:szCs w:val="30"/>
    </w:r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FootnoteText">
    <w:name w:val="footnote text"/>
    <w:basedOn w:val="Normal"/>
    <w:uiPriority w:val="9"/>
    <w:unhideWhenUsed/>
    <w:qFormat/>
  </w:style>
  <w:style w:type="character" w:styleId="Hyperlink">
    <w:name w:val="Hyperlink"/>
    <w:basedOn w:val="BodyTextChar"/>
    <w:rPr>
      <w:color w:val="4F81BD" w:themeColor="accent1"/>
    </w:rPr>
  </w:style>
  <w:style w:type="character" w:customStyle="1" w:styleId="BodyTextChar">
    <w:name w:val="Body Text Char"/>
    <w:basedOn w:val="DefaultParagraphFont"/>
    <w:link w:val="BodyText"/>
  </w:style>
  <w:style w:type="character" w:styleId="FootnoteReference">
    <w:name w:val="footnote reference"/>
    <w:basedOn w:val="BodyTextChar"/>
    <w:rPr>
      <w:vertAlign w:val="superscript"/>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customStyle="1" w:styleId="Author">
    <w:name w:val="Author"/>
    <w:next w:val="BodyText"/>
    <w:qFormat/>
    <w:pPr>
      <w:keepNext/>
      <w:keepLines/>
      <w:spacing w:after="200"/>
      <w:jc w:val="center"/>
    </w:pPr>
    <w:rPr>
      <w:rFonts w:asciiTheme="minorHAnsi" w:eastAsiaTheme="minorHAnsi" w:hAnsiTheme="minorHAnsi" w:cstheme="minorBidi"/>
      <w:sz w:val="24"/>
      <w:szCs w:val="24"/>
    </w:rPr>
  </w:style>
  <w:style w:type="paragraph" w:customStyle="1" w:styleId="Abstract">
    <w:name w:val="Abstract"/>
    <w:basedOn w:val="Normal"/>
    <w:next w:val="BodyText"/>
    <w:qFormat/>
    <w:pPr>
      <w:keepNext/>
      <w:keepLines/>
      <w:spacing w:before="300" w:after="300"/>
    </w:pPr>
    <w:rPr>
      <w:sz w:val="20"/>
      <w:szCs w:val="20"/>
    </w:rPr>
  </w:style>
  <w:style w:type="paragraph" w:customStyle="1" w:styleId="Bibliography1">
    <w:name w:val="Bibliography1"/>
    <w:basedOn w:val="Normal"/>
    <w:qFormat/>
  </w:style>
  <w:style w:type="table" w:customStyle="1" w:styleId="Table">
    <w:name w:val="Table"/>
    <w:semiHidden/>
    <w:unhideWhenUsed/>
    <w:qFormat/>
    <w:tblPr>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VerbatimChar">
    <w:name w:val="Verbatim Char"/>
    <w:basedOn w:val="BodyTextChar"/>
    <w:link w:val="SourceCode"/>
    <w:rPr>
      <w:rFonts w:ascii="Consolas" w:hAnsi="Consolas"/>
      <w:sz w:val="22"/>
    </w:rPr>
  </w:style>
  <w:style w:type="paragraph" w:customStyle="1" w:styleId="SourceCode">
    <w:name w:val="Source Code"/>
    <w:basedOn w:val="Normal"/>
    <w:link w:val="VerbatimChar"/>
    <w:pPr>
      <w:wordWrap w:val="0"/>
    </w:pPr>
  </w:style>
  <w:style w:type="paragraph" w:customStyle="1" w:styleId="TOCHeading1">
    <w:name w:val="TOC Heading1"/>
    <w:basedOn w:val="Heading1"/>
    <w:next w:val="BodyText"/>
    <w:uiPriority w:val="39"/>
    <w:unhideWhenUsed/>
    <w:qFormat/>
    <w:pPr>
      <w:spacing w:before="240" w:line="259" w:lineRule="auto"/>
      <w:outlineLvl w:val="9"/>
    </w:pPr>
    <w:rPr>
      <w:b w:val="0"/>
      <w:bCs w:val="0"/>
      <w:color w:val="365F91" w:themeColor="accent1" w:themeShade="BF"/>
    </w:r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A76DEF"/>
    <w:pPr>
      <w:tabs>
        <w:tab w:val="center" w:pos="4680"/>
        <w:tab w:val="right" w:pos="9360"/>
      </w:tabs>
      <w:spacing w:after="0"/>
    </w:pPr>
  </w:style>
  <w:style w:type="character" w:customStyle="1" w:styleId="HeaderChar">
    <w:name w:val="Header Char"/>
    <w:basedOn w:val="DefaultParagraphFont"/>
    <w:link w:val="Header"/>
    <w:rsid w:val="00A76DEF"/>
    <w:rPr>
      <w:rFonts w:asciiTheme="minorHAnsi" w:eastAsiaTheme="minorHAnsi" w:hAnsiTheme="minorHAnsi" w:cstheme="minorBidi"/>
      <w:sz w:val="24"/>
      <w:szCs w:val="24"/>
    </w:rPr>
  </w:style>
  <w:style w:type="paragraph" w:styleId="Footer">
    <w:name w:val="footer"/>
    <w:basedOn w:val="Normal"/>
    <w:link w:val="FooterChar"/>
    <w:uiPriority w:val="99"/>
    <w:rsid w:val="00A76DEF"/>
    <w:pPr>
      <w:tabs>
        <w:tab w:val="center" w:pos="4680"/>
        <w:tab w:val="right" w:pos="9360"/>
      </w:tabs>
      <w:spacing w:after="0"/>
    </w:pPr>
  </w:style>
  <w:style w:type="character" w:customStyle="1" w:styleId="FooterChar">
    <w:name w:val="Footer Char"/>
    <w:basedOn w:val="DefaultParagraphFont"/>
    <w:link w:val="Footer"/>
    <w:uiPriority w:val="99"/>
    <w:rsid w:val="00A76DEF"/>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xaiu15051@xaiu.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4716</Words>
  <Characters>26883</Characters>
  <Application>Microsoft Office Word</Application>
  <DocSecurity>0</DocSecurity>
  <Lines>224</Lines>
  <Paragraphs>63</Paragraphs>
  <ScaleCrop>false</ScaleCrop>
  <Company/>
  <LinksUpToDate>false</LinksUpToDate>
  <CharactersWithSpaces>31536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先让他赢再让他死</dc:creator>
  <cp:lastModifiedBy>Hp</cp:lastModifiedBy>
  <cp:revision>3</cp:revision>
  <dcterms:created xsi:type="dcterms:W3CDTF">2026-01-26T07:08:00Z</dcterms:created>
  <dcterms:modified xsi:type="dcterms:W3CDTF">2026-01-26T07:08:00Z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2052-12.1.0.18372</vt:lpwstr>
  </property>
  <property fmtid="{D5CDD505-2E9C-101B-9397-08002B2CF9AE}" pid="3" name="ICV">
    <vt:lpwstr>DC8934F472C04ED3AF32E9FEF8A03E11_12</vt:lpwstr>
  </property>
</Properties>
</file>