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FA03C" w14:textId="59ECE542" w:rsidR="001B4A68" w:rsidRDefault="00AE7E2C">
      <w:pPr>
        <w:pStyle w:val="Heading1"/>
        <w:jc w:val="center"/>
        <w:rPr>
          <w:color w:val="auto"/>
        </w:rPr>
      </w:pPr>
      <w:r>
        <w:rPr>
          <w:rFonts w:hint="eastAsia"/>
          <w:color w:val="auto"/>
        </w:rPr>
        <w:t>Research on the Reform of Ethnic Folk Dance Teaching in Universities from the Perspective of Traditional Ethnic Cultural Inheritance</w:t>
      </w:r>
    </w:p>
    <w:p w14:paraId="0F075EAD" w14:textId="48E0D5C9" w:rsidR="00C51A5F" w:rsidRDefault="00C51A5F" w:rsidP="00C51A5F">
      <w:pPr>
        <w:jc w:val="both"/>
        <w:rPr>
          <w:rFonts w:ascii="SimHei" w:eastAsia="SimHei" w:hAnsi="SimHei"/>
          <w:b/>
          <w:lang w:eastAsia="zh-CN"/>
        </w:rPr>
      </w:pPr>
    </w:p>
    <w:tbl>
      <w:tblPr>
        <w:tblpPr w:leftFromText="180" w:rightFromText="180" w:vertAnchor="text" w:horzAnchor="page" w:tblpX="1230" w:tblpY="615"/>
        <w:tblOverlap w:val="neve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9"/>
        <w:gridCol w:w="4186"/>
        <w:gridCol w:w="4186"/>
      </w:tblGrid>
      <w:tr w:rsidR="00C51A5F" w14:paraId="35960D2D" w14:textId="77777777" w:rsidTr="00EC1583">
        <w:trPr>
          <w:trHeight w:val="477"/>
        </w:trPr>
        <w:tc>
          <w:tcPr>
            <w:tcW w:w="1509" w:type="dxa"/>
            <w:vAlign w:val="center"/>
          </w:tcPr>
          <w:p w14:paraId="28C7CFEA" w14:textId="77777777" w:rsidR="00C51A5F" w:rsidRDefault="00C51A5F" w:rsidP="00EC1583">
            <w:pPr>
              <w:rPr>
                <w:b/>
              </w:rPr>
            </w:pPr>
            <w:proofErr w:type="spellStart"/>
            <w:r>
              <w:rPr>
                <w:rFonts w:hint="eastAsia"/>
                <w:b/>
              </w:rPr>
              <w:t>项目</w:t>
            </w:r>
            <w:proofErr w:type="spellEnd"/>
          </w:p>
        </w:tc>
        <w:tc>
          <w:tcPr>
            <w:tcW w:w="4186" w:type="dxa"/>
            <w:vAlign w:val="center"/>
          </w:tcPr>
          <w:p w14:paraId="14801F46" w14:textId="77777777" w:rsidR="00C51A5F" w:rsidRDefault="00C51A5F" w:rsidP="00EC1583">
            <w:pPr>
              <w:jc w:val="center"/>
              <w:rPr>
                <w:b/>
              </w:rPr>
            </w:pPr>
            <w:proofErr w:type="spellStart"/>
            <w:r>
              <w:rPr>
                <w:rFonts w:hint="eastAsia"/>
                <w:b/>
              </w:rPr>
              <w:t>中文登记内容</w:t>
            </w:r>
            <w:proofErr w:type="spellEnd"/>
          </w:p>
        </w:tc>
        <w:tc>
          <w:tcPr>
            <w:tcW w:w="4186" w:type="dxa"/>
            <w:vAlign w:val="center"/>
          </w:tcPr>
          <w:p w14:paraId="123C7D0D" w14:textId="77777777" w:rsidR="00C51A5F" w:rsidRDefault="00C51A5F" w:rsidP="00EC1583">
            <w:pPr>
              <w:jc w:val="center"/>
              <w:rPr>
                <w:rFonts w:hint="eastAsia"/>
                <w:b/>
              </w:rPr>
            </w:pPr>
            <w:proofErr w:type="spellStart"/>
            <w:r>
              <w:rPr>
                <w:rFonts w:hint="eastAsia"/>
                <w:b/>
              </w:rPr>
              <w:t>英文登记内容</w:t>
            </w:r>
            <w:proofErr w:type="spellEnd"/>
          </w:p>
        </w:tc>
      </w:tr>
      <w:tr w:rsidR="00C51A5F" w14:paraId="6222B00E" w14:textId="77777777" w:rsidTr="00EC1583">
        <w:trPr>
          <w:trHeight w:val="415"/>
        </w:trPr>
        <w:tc>
          <w:tcPr>
            <w:tcW w:w="1509" w:type="dxa"/>
            <w:vAlign w:val="center"/>
          </w:tcPr>
          <w:p w14:paraId="58844CB1" w14:textId="77777777" w:rsidR="00C51A5F" w:rsidRDefault="00C51A5F" w:rsidP="00EC1583">
            <w:pPr>
              <w:jc w:val="center"/>
              <w:rPr>
                <w:rFonts w:ascii="SimSun" w:hAnsi="SimSun" w:hint="eastAsia"/>
                <w:b/>
                <w:sz w:val="18"/>
              </w:rPr>
            </w:pPr>
          </w:p>
          <w:p w14:paraId="667EF7DE" w14:textId="77777777" w:rsidR="00C51A5F" w:rsidRDefault="00C51A5F" w:rsidP="00EC1583">
            <w:pPr>
              <w:jc w:val="center"/>
              <w:rPr>
                <w:rFonts w:ascii="SimSun" w:hAnsi="SimSun" w:hint="eastAsia"/>
                <w:b/>
                <w:sz w:val="18"/>
              </w:rPr>
            </w:pPr>
            <w:proofErr w:type="spellStart"/>
            <w:r>
              <w:rPr>
                <w:rFonts w:ascii="SimSun" w:hAnsi="SimSun" w:hint="eastAsia"/>
                <w:b/>
                <w:sz w:val="18"/>
              </w:rPr>
              <w:t>文章题目</w:t>
            </w:r>
            <w:proofErr w:type="spellEnd"/>
          </w:p>
          <w:p w14:paraId="2FF7EA1F" w14:textId="77777777" w:rsidR="00C51A5F" w:rsidRDefault="00C51A5F" w:rsidP="00EC1583">
            <w:pPr>
              <w:jc w:val="center"/>
              <w:rPr>
                <w:rFonts w:ascii="SimSun" w:hAnsi="SimSun" w:hint="eastAsia"/>
                <w:b/>
                <w:sz w:val="18"/>
              </w:rPr>
            </w:pPr>
          </w:p>
        </w:tc>
        <w:tc>
          <w:tcPr>
            <w:tcW w:w="4186" w:type="dxa"/>
            <w:vAlign w:val="center"/>
          </w:tcPr>
          <w:p w14:paraId="54DD855F" w14:textId="77777777" w:rsidR="00C51A5F" w:rsidRDefault="00C51A5F" w:rsidP="00EC1583">
            <w:pPr>
              <w:jc w:val="center"/>
              <w:rPr>
                <w:b/>
                <w:sz w:val="18"/>
              </w:rPr>
            </w:pPr>
            <w:proofErr w:type="spellStart"/>
            <w:r>
              <w:rPr>
                <w:rFonts w:hint="eastAsia"/>
                <w:b/>
                <w:sz w:val="18"/>
              </w:rPr>
              <w:t>民族传统文化传承视域下高校民族民间舞蹈教学改革研究</w:t>
            </w:r>
            <w:proofErr w:type="spellEnd"/>
          </w:p>
        </w:tc>
        <w:tc>
          <w:tcPr>
            <w:tcW w:w="4186" w:type="dxa"/>
            <w:vAlign w:val="center"/>
          </w:tcPr>
          <w:p w14:paraId="51526CBF" w14:textId="77777777" w:rsidR="00C51A5F" w:rsidRDefault="00C51A5F" w:rsidP="00EC1583">
            <w:pPr>
              <w:jc w:val="center"/>
              <w:rPr>
                <w:b/>
                <w:sz w:val="18"/>
              </w:rPr>
            </w:pPr>
            <w:r>
              <w:rPr>
                <w:rFonts w:hint="eastAsia"/>
                <w:b/>
                <w:sz w:val="18"/>
              </w:rPr>
              <w:t>Study on the teaching reform of ethnic folk dance in universities under the perspective of ethnic traditional culture inheritance</w:t>
            </w:r>
          </w:p>
        </w:tc>
      </w:tr>
      <w:tr w:rsidR="00C51A5F" w14:paraId="207A8C97" w14:textId="77777777" w:rsidTr="00EC1583">
        <w:trPr>
          <w:trHeight w:val="668"/>
        </w:trPr>
        <w:tc>
          <w:tcPr>
            <w:tcW w:w="1509" w:type="dxa"/>
            <w:vAlign w:val="center"/>
          </w:tcPr>
          <w:p w14:paraId="67C8ECAA" w14:textId="77777777" w:rsidR="00C51A5F" w:rsidRDefault="00C51A5F" w:rsidP="00EC1583">
            <w:pPr>
              <w:jc w:val="center"/>
              <w:rPr>
                <w:rFonts w:ascii="SimSun" w:hAnsi="SimSun" w:hint="eastAsia"/>
                <w:b/>
                <w:sz w:val="18"/>
              </w:rPr>
            </w:pPr>
            <w:proofErr w:type="spellStart"/>
            <w:r>
              <w:rPr>
                <w:rFonts w:ascii="SimSun" w:hAnsi="SimSun" w:hint="eastAsia"/>
                <w:b/>
                <w:sz w:val="18"/>
                <w:highlight w:val="yellow"/>
              </w:rPr>
              <w:t>基金资助</w:t>
            </w:r>
            <w:proofErr w:type="spellEnd"/>
            <w:r>
              <w:rPr>
                <w:rFonts w:ascii="SimSun" w:hAnsi="SimSun" w:hint="eastAsia"/>
                <w:b/>
                <w:sz w:val="18"/>
                <w:highlight w:val="yellow"/>
              </w:rPr>
              <w:br/>
              <w:t>(</w:t>
            </w:r>
            <w:proofErr w:type="spellStart"/>
            <w:r>
              <w:rPr>
                <w:rFonts w:ascii="SimSun" w:hAnsi="SimSun" w:hint="eastAsia"/>
                <w:b/>
                <w:sz w:val="18"/>
                <w:highlight w:val="yellow"/>
              </w:rPr>
              <w:t>基金名称</w:t>
            </w:r>
            <w:proofErr w:type="spellEnd"/>
            <w:r>
              <w:rPr>
                <w:rFonts w:ascii="SimSun" w:hAnsi="SimSun" w:hint="eastAsia"/>
                <w:b/>
                <w:sz w:val="18"/>
                <w:highlight w:val="yellow"/>
              </w:rPr>
              <w:t xml:space="preserve">, </w:t>
            </w:r>
            <w:proofErr w:type="spellStart"/>
            <w:r>
              <w:rPr>
                <w:rFonts w:ascii="SimSun" w:hAnsi="SimSun" w:hint="eastAsia"/>
                <w:b/>
                <w:sz w:val="18"/>
                <w:highlight w:val="yellow"/>
              </w:rPr>
              <w:t>资助号</w:t>
            </w:r>
            <w:proofErr w:type="spellEnd"/>
            <w:r>
              <w:rPr>
                <w:rFonts w:ascii="SimSun" w:hAnsi="SimSun" w:hint="eastAsia"/>
                <w:b/>
                <w:sz w:val="18"/>
                <w:highlight w:val="yellow"/>
              </w:rPr>
              <w:t>)</w:t>
            </w:r>
          </w:p>
        </w:tc>
        <w:tc>
          <w:tcPr>
            <w:tcW w:w="4186" w:type="dxa"/>
            <w:vAlign w:val="center"/>
          </w:tcPr>
          <w:p w14:paraId="222C1EF6" w14:textId="77777777" w:rsidR="00C51A5F" w:rsidRDefault="00C51A5F" w:rsidP="00EC1583">
            <w:pPr>
              <w:jc w:val="center"/>
              <w:rPr>
                <w:b/>
                <w:sz w:val="18"/>
              </w:rPr>
            </w:pPr>
            <w:r>
              <w:rPr>
                <w:rFonts w:hint="eastAsia"/>
                <w:b/>
                <w:sz w:val="18"/>
              </w:rPr>
              <w:t>2022</w:t>
            </w:r>
            <w:proofErr w:type="gramStart"/>
            <w:r>
              <w:rPr>
                <w:rFonts w:hint="eastAsia"/>
                <w:b/>
                <w:sz w:val="18"/>
              </w:rPr>
              <w:t>年度国家社科基金艺术学项目“</w:t>
            </w:r>
            <w:proofErr w:type="gramEnd"/>
            <w:r>
              <w:rPr>
                <w:rFonts w:hint="eastAsia"/>
                <w:b/>
                <w:sz w:val="18"/>
              </w:rPr>
              <w:t>中国藏族民间舞蹈史整理与研究”（编号：22CE175）的阶段性成果</w:t>
            </w:r>
          </w:p>
        </w:tc>
        <w:tc>
          <w:tcPr>
            <w:tcW w:w="4186" w:type="dxa"/>
            <w:vAlign w:val="center"/>
          </w:tcPr>
          <w:p w14:paraId="11AC77BF" w14:textId="77777777" w:rsidR="00C51A5F" w:rsidRDefault="00C51A5F" w:rsidP="00EC1583">
            <w:pPr>
              <w:jc w:val="center"/>
              <w:rPr>
                <w:b/>
                <w:sz w:val="18"/>
              </w:rPr>
            </w:pPr>
            <w:r>
              <w:rPr>
                <w:rFonts w:hint="eastAsia"/>
                <w:b/>
                <w:sz w:val="18"/>
              </w:rPr>
              <w:t>The phased results of the 2022 National Social Science Foundation Art project "Compilation and Research of Chinese Tibetan Folk Dance History" (No.: 22CE175)</w:t>
            </w:r>
          </w:p>
        </w:tc>
      </w:tr>
      <w:tr w:rsidR="00C51A5F" w14:paraId="64E7BDD9" w14:textId="77777777" w:rsidTr="00EC1583">
        <w:trPr>
          <w:trHeight w:val="634"/>
        </w:trPr>
        <w:tc>
          <w:tcPr>
            <w:tcW w:w="1509" w:type="dxa"/>
            <w:vAlign w:val="center"/>
          </w:tcPr>
          <w:p w14:paraId="18704B29" w14:textId="77777777" w:rsidR="00C51A5F" w:rsidRDefault="00C51A5F" w:rsidP="00EC1583">
            <w:pPr>
              <w:jc w:val="center"/>
              <w:rPr>
                <w:rFonts w:ascii="SimSun" w:eastAsia="SimSun" w:hAnsi="SimSun"/>
                <w:b/>
                <w:sz w:val="18"/>
                <w:lang w:eastAsia="zh-CN"/>
              </w:rPr>
            </w:pPr>
            <w:r>
              <w:rPr>
                <w:rFonts w:ascii="SimSun" w:hAnsi="SimSun" w:hint="eastAsia"/>
                <w:b/>
                <w:sz w:val="18"/>
                <w:lang w:eastAsia="zh-CN"/>
              </w:rPr>
              <w:t>第一</w:t>
            </w:r>
            <w:proofErr w:type="spellStart"/>
            <w:r>
              <w:rPr>
                <w:rFonts w:ascii="SimSun" w:hAnsi="SimSun" w:hint="eastAsia"/>
                <w:b/>
                <w:sz w:val="18"/>
              </w:rPr>
              <w:t>作者姓名</w:t>
            </w:r>
            <w:proofErr w:type="spellEnd"/>
            <w:r>
              <w:rPr>
                <w:rFonts w:ascii="SimSun" w:hAnsi="SimSun" w:hint="eastAsia"/>
                <w:b/>
                <w:sz w:val="18"/>
                <w:lang w:eastAsia="zh-CN"/>
              </w:rPr>
              <w:t>、单位、学历、职称</w:t>
            </w:r>
          </w:p>
        </w:tc>
        <w:tc>
          <w:tcPr>
            <w:tcW w:w="4186" w:type="dxa"/>
            <w:vAlign w:val="center"/>
          </w:tcPr>
          <w:p w14:paraId="27001041" w14:textId="77777777" w:rsidR="00C51A5F" w:rsidRDefault="00C51A5F" w:rsidP="00EC1583">
            <w:pPr>
              <w:jc w:val="center"/>
              <w:rPr>
                <w:rFonts w:eastAsia="SimSun" w:hint="eastAsia"/>
                <w:sz w:val="18"/>
                <w:lang w:eastAsia="zh-CN"/>
              </w:rPr>
            </w:pPr>
            <w:proofErr w:type="spellStart"/>
            <w:r>
              <w:rPr>
                <w:rFonts w:hint="eastAsia"/>
              </w:rPr>
              <w:t>李秀加</w:t>
            </w:r>
            <w:proofErr w:type="spellEnd"/>
            <w:r>
              <w:rPr>
                <w:rFonts w:hint="eastAsia"/>
                <w:lang w:eastAsia="zh-CN"/>
              </w:rPr>
              <w:t>、</w:t>
            </w:r>
            <w:proofErr w:type="spellStart"/>
            <w:r>
              <w:rPr>
                <w:rFonts w:hint="eastAsia"/>
              </w:rPr>
              <w:t>西北师范大学</w:t>
            </w:r>
            <w:proofErr w:type="spellEnd"/>
            <w:r>
              <w:rPr>
                <w:rFonts w:hint="eastAsia"/>
                <w:lang w:eastAsia="zh-CN"/>
              </w:rPr>
              <w:t>、</w:t>
            </w:r>
            <w:proofErr w:type="spellStart"/>
            <w:r>
              <w:rPr>
                <w:rFonts w:hint="eastAsia"/>
              </w:rPr>
              <w:t>硕士研究生</w:t>
            </w:r>
            <w:proofErr w:type="spellEnd"/>
            <w:r>
              <w:rPr>
                <w:rFonts w:hint="eastAsia"/>
                <w:lang w:eastAsia="zh-CN"/>
              </w:rPr>
              <w:t>、</w:t>
            </w:r>
            <w:proofErr w:type="spellStart"/>
            <w:r>
              <w:rPr>
                <w:rFonts w:hint="eastAsia"/>
              </w:rPr>
              <w:t>副教授</w:t>
            </w:r>
            <w:proofErr w:type="spellEnd"/>
          </w:p>
        </w:tc>
        <w:tc>
          <w:tcPr>
            <w:tcW w:w="4186" w:type="dxa"/>
            <w:vAlign w:val="center"/>
          </w:tcPr>
          <w:p w14:paraId="487C5578" w14:textId="77777777" w:rsidR="00C51A5F" w:rsidRDefault="00C51A5F" w:rsidP="00EC1583">
            <w:pPr>
              <w:jc w:val="center"/>
              <w:rPr>
                <w:sz w:val="18"/>
              </w:rPr>
            </w:pPr>
            <w:r>
              <w:rPr>
                <w:rFonts w:hint="eastAsia"/>
                <w:sz w:val="18"/>
              </w:rPr>
              <w:t xml:space="preserve">Li </w:t>
            </w:r>
            <w:proofErr w:type="spellStart"/>
            <w:r>
              <w:rPr>
                <w:rFonts w:hint="eastAsia"/>
                <w:sz w:val="18"/>
              </w:rPr>
              <w:t>Xiujia</w:t>
            </w:r>
            <w:proofErr w:type="spellEnd"/>
            <w:r>
              <w:rPr>
                <w:rFonts w:hint="eastAsia"/>
                <w:sz w:val="18"/>
              </w:rPr>
              <w:t>, Northwest Normal University, postgraduate, associate professor</w:t>
            </w:r>
          </w:p>
        </w:tc>
      </w:tr>
      <w:tr w:rsidR="00C51A5F" w14:paraId="397A31DA" w14:textId="77777777" w:rsidTr="00EC1583">
        <w:trPr>
          <w:trHeight w:val="573"/>
        </w:trPr>
        <w:tc>
          <w:tcPr>
            <w:tcW w:w="1509" w:type="dxa"/>
            <w:vAlign w:val="center"/>
          </w:tcPr>
          <w:p w14:paraId="296B2532" w14:textId="77777777" w:rsidR="00C51A5F" w:rsidRDefault="00C51A5F" w:rsidP="00EC1583">
            <w:pPr>
              <w:jc w:val="center"/>
              <w:rPr>
                <w:rFonts w:ascii="SimSun" w:eastAsia="SimSun" w:hAnsi="SimSun"/>
                <w:b/>
                <w:sz w:val="18"/>
                <w:lang w:eastAsia="zh-CN"/>
              </w:rPr>
            </w:pPr>
            <w:proofErr w:type="spellStart"/>
            <w:r>
              <w:rPr>
                <w:rFonts w:ascii="SimSun" w:hAnsi="SimSun" w:hint="eastAsia"/>
                <w:b/>
                <w:sz w:val="18"/>
              </w:rPr>
              <w:t>通讯作者姓名</w:t>
            </w:r>
            <w:proofErr w:type="spellEnd"/>
            <w:r>
              <w:rPr>
                <w:rFonts w:ascii="SimSun" w:hAnsi="SimSun" w:hint="eastAsia"/>
                <w:b/>
                <w:sz w:val="18"/>
                <w:lang w:eastAsia="zh-CN"/>
              </w:rPr>
              <w:t>、单位、学历、职称</w:t>
            </w:r>
          </w:p>
        </w:tc>
        <w:tc>
          <w:tcPr>
            <w:tcW w:w="4186" w:type="dxa"/>
            <w:vAlign w:val="center"/>
          </w:tcPr>
          <w:p w14:paraId="0E7EB035" w14:textId="77777777" w:rsidR="00C51A5F" w:rsidRDefault="00C51A5F" w:rsidP="00EC1583">
            <w:pPr>
              <w:jc w:val="center"/>
              <w:rPr>
                <w:sz w:val="18"/>
              </w:rPr>
            </w:pPr>
            <w:proofErr w:type="spellStart"/>
            <w:r>
              <w:rPr>
                <w:rFonts w:hint="eastAsia"/>
              </w:rPr>
              <w:t>李秀加</w:t>
            </w:r>
            <w:proofErr w:type="spellEnd"/>
            <w:r>
              <w:rPr>
                <w:rFonts w:hint="eastAsia"/>
                <w:lang w:eastAsia="zh-CN"/>
              </w:rPr>
              <w:t>、</w:t>
            </w:r>
            <w:proofErr w:type="spellStart"/>
            <w:r>
              <w:rPr>
                <w:rFonts w:hint="eastAsia"/>
              </w:rPr>
              <w:t>西北师范大学</w:t>
            </w:r>
            <w:proofErr w:type="spellEnd"/>
            <w:r>
              <w:rPr>
                <w:rFonts w:hint="eastAsia"/>
                <w:lang w:eastAsia="zh-CN"/>
              </w:rPr>
              <w:t>、</w:t>
            </w:r>
            <w:proofErr w:type="spellStart"/>
            <w:r>
              <w:rPr>
                <w:rFonts w:hint="eastAsia"/>
              </w:rPr>
              <w:t>硕士研究生</w:t>
            </w:r>
            <w:proofErr w:type="spellEnd"/>
            <w:r>
              <w:rPr>
                <w:rFonts w:hint="eastAsia"/>
                <w:lang w:eastAsia="zh-CN"/>
              </w:rPr>
              <w:t>、</w:t>
            </w:r>
            <w:proofErr w:type="spellStart"/>
            <w:r>
              <w:rPr>
                <w:rFonts w:hint="eastAsia"/>
              </w:rPr>
              <w:t>副教授</w:t>
            </w:r>
            <w:proofErr w:type="spellEnd"/>
          </w:p>
        </w:tc>
        <w:tc>
          <w:tcPr>
            <w:tcW w:w="4186" w:type="dxa"/>
            <w:vAlign w:val="center"/>
          </w:tcPr>
          <w:p w14:paraId="2D3A87D8" w14:textId="77777777" w:rsidR="00C51A5F" w:rsidRDefault="00C51A5F" w:rsidP="00EC1583">
            <w:pPr>
              <w:jc w:val="center"/>
              <w:rPr>
                <w:sz w:val="18"/>
              </w:rPr>
            </w:pPr>
            <w:r>
              <w:rPr>
                <w:rFonts w:hint="eastAsia"/>
                <w:sz w:val="18"/>
              </w:rPr>
              <w:t xml:space="preserve">Li </w:t>
            </w:r>
            <w:proofErr w:type="spellStart"/>
            <w:r>
              <w:rPr>
                <w:rFonts w:hint="eastAsia"/>
                <w:sz w:val="18"/>
              </w:rPr>
              <w:t>Xiujia</w:t>
            </w:r>
            <w:proofErr w:type="spellEnd"/>
            <w:r>
              <w:rPr>
                <w:rFonts w:hint="eastAsia"/>
                <w:sz w:val="18"/>
              </w:rPr>
              <w:t>, Northwest Normal University, postgraduate, associate professor</w:t>
            </w:r>
          </w:p>
        </w:tc>
      </w:tr>
      <w:tr w:rsidR="00C51A5F" w14:paraId="2F360638" w14:textId="77777777" w:rsidTr="00EC1583">
        <w:trPr>
          <w:trHeight w:val="573"/>
        </w:trPr>
        <w:tc>
          <w:tcPr>
            <w:tcW w:w="1509" w:type="dxa"/>
            <w:vAlign w:val="center"/>
          </w:tcPr>
          <w:p w14:paraId="1FD73D82" w14:textId="77777777" w:rsidR="00C51A5F" w:rsidRDefault="00C51A5F" w:rsidP="00EC1583">
            <w:pPr>
              <w:jc w:val="center"/>
              <w:rPr>
                <w:rFonts w:ascii="SimSun" w:hAnsi="SimSun" w:hint="eastAsia"/>
                <w:b/>
                <w:sz w:val="18"/>
              </w:rPr>
            </w:pPr>
            <w:r>
              <w:rPr>
                <w:rFonts w:ascii="SimSun" w:hAnsi="SimSun" w:hint="eastAsia"/>
                <w:b/>
                <w:sz w:val="18"/>
                <w:lang w:eastAsia="zh-CN"/>
              </w:rPr>
              <w:t>其他</w:t>
            </w:r>
            <w:proofErr w:type="spellStart"/>
            <w:r>
              <w:rPr>
                <w:rFonts w:ascii="SimSun" w:hAnsi="SimSun" w:hint="eastAsia"/>
                <w:b/>
                <w:sz w:val="18"/>
              </w:rPr>
              <w:t>所有作者</w:t>
            </w:r>
            <w:proofErr w:type="spellEnd"/>
            <w:r>
              <w:rPr>
                <w:rFonts w:ascii="SimSun" w:hAnsi="SimSun" w:hint="eastAsia"/>
                <w:b/>
                <w:sz w:val="18"/>
              </w:rPr>
              <w:t xml:space="preserve"> </w:t>
            </w:r>
            <w:r>
              <w:rPr>
                <w:rFonts w:ascii="SimSun" w:hAnsi="SimSun" w:hint="eastAsia"/>
                <w:b/>
                <w:sz w:val="18"/>
                <w:lang w:eastAsia="zh-CN"/>
              </w:rPr>
              <w:t>按照顺序填写</w:t>
            </w:r>
            <w:r>
              <w:rPr>
                <w:rFonts w:ascii="SimSun" w:hAnsi="SimSun" w:hint="eastAsia"/>
                <w:b/>
                <w:sz w:val="18"/>
                <w:lang w:eastAsia="zh-CN"/>
              </w:rPr>
              <w:t xml:space="preserve">  </w:t>
            </w:r>
            <w:r>
              <w:rPr>
                <w:rFonts w:ascii="SimSun" w:hAnsi="SimSun" w:hint="eastAsia"/>
                <w:b/>
                <w:sz w:val="18"/>
                <w:lang w:eastAsia="zh-CN"/>
              </w:rPr>
              <w:t>（如第二作者标记</w:t>
            </w:r>
            <w:r>
              <w:rPr>
                <w:rFonts w:ascii="SimSun" w:hAnsi="SimSun" w:hint="eastAsia"/>
                <w:b/>
                <w:sz w:val="18"/>
                <w:lang w:eastAsia="zh-CN"/>
              </w:rPr>
              <w:t>2</w:t>
            </w:r>
            <w:r>
              <w:rPr>
                <w:rFonts w:ascii="SimSun" w:hAnsi="SimSun" w:hint="eastAsia"/>
                <w:b/>
                <w:sz w:val="18"/>
                <w:lang w:eastAsia="zh-CN"/>
              </w:rPr>
              <w:t>）</w:t>
            </w:r>
            <w:r>
              <w:rPr>
                <w:rFonts w:ascii="SimSun" w:hAnsi="SimSun" w:hint="eastAsia"/>
                <w:b/>
                <w:sz w:val="18"/>
                <w:lang w:eastAsia="zh-CN"/>
              </w:rPr>
              <w:t xml:space="preserve">   </w:t>
            </w:r>
            <w:r>
              <w:rPr>
                <w:rFonts w:ascii="SimSun" w:hAnsi="SimSun" w:hint="eastAsia"/>
                <w:b/>
                <w:sz w:val="18"/>
              </w:rPr>
              <w:t xml:space="preserve">   </w:t>
            </w:r>
          </w:p>
        </w:tc>
        <w:tc>
          <w:tcPr>
            <w:tcW w:w="4186" w:type="dxa"/>
            <w:vAlign w:val="center"/>
          </w:tcPr>
          <w:p w14:paraId="1F5F5861" w14:textId="77777777" w:rsidR="00C51A5F" w:rsidRDefault="00C51A5F" w:rsidP="00EC1583">
            <w:pPr>
              <w:jc w:val="both"/>
              <w:rPr>
                <w:rFonts w:eastAsia="SimSun" w:hint="eastAsia"/>
                <w:lang w:eastAsia="zh-CN"/>
              </w:rPr>
            </w:pPr>
          </w:p>
        </w:tc>
        <w:tc>
          <w:tcPr>
            <w:tcW w:w="4186" w:type="dxa"/>
            <w:vAlign w:val="center"/>
          </w:tcPr>
          <w:p w14:paraId="27CE44E6" w14:textId="77777777" w:rsidR="00C51A5F" w:rsidRDefault="00C51A5F" w:rsidP="00EC1583">
            <w:pPr>
              <w:jc w:val="center"/>
              <w:rPr>
                <w:sz w:val="18"/>
              </w:rPr>
            </w:pPr>
          </w:p>
        </w:tc>
      </w:tr>
      <w:tr w:rsidR="00C51A5F" w14:paraId="2A5FFF7B" w14:textId="77777777" w:rsidTr="00EC1583">
        <w:trPr>
          <w:trHeight w:val="573"/>
        </w:trPr>
        <w:tc>
          <w:tcPr>
            <w:tcW w:w="1509" w:type="dxa"/>
            <w:vAlign w:val="center"/>
          </w:tcPr>
          <w:p w14:paraId="469963F1" w14:textId="77777777" w:rsidR="00C51A5F" w:rsidRDefault="00C51A5F" w:rsidP="00EC1583">
            <w:pPr>
              <w:jc w:val="center"/>
              <w:rPr>
                <w:rFonts w:ascii="SimSun" w:hAnsi="SimSun" w:hint="eastAsia"/>
                <w:b/>
                <w:sz w:val="18"/>
              </w:rPr>
            </w:pPr>
            <w:proofErr w:type="spellStart"/>
            <w:r>
              <w:rPr>
                <w:rFonts w:ascii="SimSun" w:hAnsi="SimSun" w:hint="eastAsia"/>
                <w:b/>
                <w:sz w:val="18"/>
              </w:rPr>
              <w:t>通讯作者详细地址</w:t>
            </w:r>
            <w:proofErr w:type="spellEnd"/>
          </w:p>
          <w:p w14:paraId="059BE6FA" w14:textId="77777777" w:rsidR="00C51A5F" w:rsidRDefault="00C51A5F" w:rsidP="00EC1583">
            <w:pPr>
              <w:jc w:val="center"/>
              <w:rPr>
                <w:rFonts w:ascii="SimSun" w:hAnsi="SimSun" w:hint="eastAsia"/>
                <w:b/>
                <w:sz w:val="18"/>
              </w:rPr>
            </w:pPr>
            <w:r>
              <w:rPr>
                <w:rFonts w:ascii="SimSun" w:hAnsi="SimSun" w:hint="eastAsia"/>
                <w:b/>
                <w:sz w:val="18"/>
              </w:rPr>
              <w:t>（</w:t>
            </w:r>
            <w:r>
              <w:rPr>
                <w:rFonts w:ascii="SimSun" w:hAnsi="SimSun" w:hint="eastAsia"/>
                <w:b/>
                <w:sz w:val="18"/>
              </w:rPr>
              <w:t>**</w:t>
            </w:r>
            <w:r>
              <w:rPr>
                <w:rFonts w:ascii="SimSun" w:hAnsi="SimSun" w:hint="eastAsia"/>
                <w:b/>
                <w:sz w:val="18"/>
              </w:rPr>
              <w:t>市</w:t>
            </w:r>
            <w:r>
              <w:rPr>
                <w:rFonts w:ascii="SimSun" w:hAnsi="SimSun" w:hint="eastAsia"/>
                <w:b/>
                <w:sz w:val="18"/>
              </w:rPr>
              <w:t>**</w:t>
            </w:r>
            <w:r>
              <w:rPr>
                <w:rFonts w:ascii="SimSun" w:hAnsi="SimSun" w:hint="eastAsia"/>
                <w:b/>
                <w:sz w:val="18"/>
              </w:rPr>
              <w:t>路</w:t>
            </w:r>
            <w:r>
              <w:rPr>
                <w:rFonts w:ascii="SimSun" w:hAnsi="SimSun" w:hint="eastAsia"/>
                <w:b/>
                <w:sz w:val="18"/>
              </w:rPr>
              <w:t>**</w:t>
            </w:r>
            <w:r>
              <w:rPr>
                <w:rFonts w:ascii="SimSun" w:hAnsi="SimSun" w:hint="eastAsia"/>
                <w:b/>
                <w:sz w:val="18"/>
              </w:rPr>
              <w:t>号</w:t>
            </w:r>
            <w:r>
              <w:rPr>
                <w:rFonts w:ascii="SimSun" w:hAnsi="SimSun" w:hint="eastAsia"/>
                <w:b/>
                <w:sz w:val="18"/>
              </w:rPr>
              <w:t>**</w:t>
            </w:r>
            <w:proofErr w:type="spellStart"/>
            <w:r>
              <w:rPr>
                <w:rFonts w:ascii="SimSun" w:hAnsi="SimSun" w:hint="eastAsia"/>
                <w:b/>
                <w:sz w:val="18"/>
              </w:rPr>
              <w:t>单位</w:t>
            </w:r>
            <w:proofErr w:type="spellEnd"/>
            <w:r>
              <w:rPr>
                <w:rFonts w:ascii="SimSun" w:hAnsi="SimSun" w:hint="eastAsia"/>
                <w:b/>
                <w:sz w:val="18"/>
              </w:rPr>
              <w:t>）</w:t>
            </w:r>
          </w:p>
        </w:tc>
        <w:tc>
          <w:tcPr>
            <w:tcW w:w="4186" w:type="dxa"/>
            <w:vAlign w:val="center"/>
          </w:tcPr>
          <w:p w14:paraId="48F8B0CE" w14:textId="77777777" w:rsidR="00C51A5F" w:rsidRDefault="00C51A5F" w:rsidP="00EC1583">
            <w:pPr>
              <w:rPr>
                <w:sz w:val="18"/>
              </w:rPr>
            </w:pPr>
            <w:r>
              <w:rPr>
                <w:rFonts w:hint="eastAsia"/>
                <w:lang w:eastAsia="zh-CN"/>
              </w:rPr>
              <w:t>甘肃省兰州市安宁区安宁东路967号</w:t>
            </w:r>
          </w:p>
        </w:tc>
        <w:tc>
          <w:tcPr>
            <w:tcW w:w="4186" w:type="dxa"/>
            <w:vAlign w:val="center"/>
          </w:tcPr>
          <w:p w14:paraId="07A39A38" w14:textId="77777777" w:rsidR="00C51A5F" w:rsidRDefault="00C51A5F" w:rsidP="00EC1583">
            <w:pPr>
              <w:jc w:val="center"/>
              <w:rPr>
                <w:sz w:val="18"/>
              </w:rPr>
            </w:pPr>
            <w:r>
              <w:rPr>
                <w:rFonts w:hint="eastAsia"/>
                <w:sz w:val="18"/>
              </w:rPr>
              <w:t>No.967, East Anning Road, Anning District, Lanzhou City, Gansu Province</w:t>
            </w:r>
          </w:p>
        </w:tc>
      </w:tr>
      <w:tr w:rsidR="00C51A5F" w14:paraId="171CF313" w14:textId="77777777" w:rsidTr="00EC1583">
        <w:trPr>
          <w:trHeight w:val="573"/>
        </w:trPr>
        <w:tc>
          <w:tcPr>
            <w:tcW w:w="1509" w:type="dxa"/>
            <w:vAlign w:val="center"/>
          </w:tcPr>
          <w:p w14:paraId="3FD8E0CF" w14:textId="77777777" w:rsidR="00C51A5F" w:rsidRDefault="00C51A5F" w:rsidP="00EC1583">
            <w:pPr>
              <w:jc w:val="center"/>
              <w:rPr>
                <w:rFonts w:ascii="SimSun" w:eastAsia="SimSun" w:hAnsi="SimSun" w:hint="eastAsia"/>
                <w:b/>
                <w:sz w:val="18"/>
                <w:lang w:eastAsia="zh-CN"/>
              </w:rPr>
            </w:pPr>
            <w:proofErr w:type="spellStart"/>
            <w:r>
              <w:rPr>
                <w:rFonts w:ascii="SimSun" w:hAnsi="SimSun" w:hint="eastAsia"/>
                <w:b/>
                <w:sz w:val="18"/>
              </w:rPr>
              <w:t>通讯作者电子邮箱</w:t>
            </w:r>
            <w:proofErr w:type="spellEnd"/>
            <w:r>
              <w:rPr>
                <w:rFonts w:ascii="SimSun" w:hAnsi="SimSun" w:hint="eastAsia"/>
                <w:b/>
                <w:sz w:val="18"/>
                <w:lang w:eastAsia="zh-CN"/>
              </w:rPr>
              <w:t>/</w:t>
            </w:r>
            <w:r>
              <w:rPr>
                <w:rFonts w:ascii="SimSun" w:hAnsi="SimSun" w:hint="eastAsia"/>
                <w:b/>
                <w:sz w:val="18"/>
                <w:lang w:eastAsia="zh-CN"/>
              </w:rPr>
              <w:t>密码</w:t>
            </w:r>
          </w:p>
        </w:tc>
        <w:tc>
          <w:tcPr>
            <w:tcW w:w="4186" w:type="dxa"/>
            <w:vAlign w:val="center"/>
          </w:tcPr>
          <w:p w14:paraId="7E3537D7" w14:textId="77777777" w:rsidR="00C51A5F" w:rsidRDefault="00C51A5F" w:rsidP="00EC1583">
            <w:pPr>
              <w:jc w:val="center"/>
              <w:rPr>
                <w:rFonts w:hint="eastAsia"/>
                <w:sz w:val="18"/>
              </w:rPr>
            </w:pPr>
            <w:hyperlink r:id="rId7" w:history="1">
              <w:r>
                <w:rPr>
                  <w:rStyle w:val="Hyperlink"/>
                  <w:rFonts w:hint="eastAsia"/>
                  <w:sz w:val="18"/>
                </w:rPr>
                <w:t>Lixiujia816@163.com</w:t>
              </w:r>
            </w:hyperlink>
          </w:p>
          <w:p w14:paraId="5AAC40B8" w14:textId="77777777" w:rsidR="00C51A5F" w:rsidRDefault="00C51A5F" w:rsidP="00EC1583">
            <w:pPr>
              <w:jc w:val="center"/>
              <w:rPr>
                <w:rFonts w:hint="eastAsia"/>
                <w:sz w:val="18"/>
              </w:rPr>
            </w:pPr>
          </w:p>
        </w:tc>
        <w:tc>
          <w:tcPr>
            <w:tcW w:w="4186" w:type="dxa"/>
            <w:vAlign w:val="center"/>
          </w:tcPr>
          <w:p w14:paraId="1D3BB860" w14:textId="77777777" w:rsidR="00C51A5F" w:rsidRDefault="00C51A5F" w:rsidP="00EC1583">
            <w:pPr>
              <w:jc w:val="center"/>
              <w:rPr>
                <w:sz w:val="18"/>
              </w:rPr>
            </w:pPr>
          </w:p>
        </w:tc>
      </w:tr>
      <w:tr w:rsidR="00C51A5F" w14:paraId="2CAE1C6C" w14:textId="77777777" w:rsidTr="00EC1583">
        <w:trPr>
          <w:trHeight w:val="573"/>
        </w:trPr>
        <w:tc>
          <w:tcPr>
            <w:tcW w:w="1509" w:type="dxa"/>
            <w:vAlign w:val="center"/>
          </w:tcPr>
          <w:p w14:paraId="4CA5DC38" w14:textId="77777777" w:rsidR="00C51A5F" w:rsidRDefault="00C51A5F" w:rsidP="00EC1583">
            <w:pPr>
              <w:jc w:val="center"/>
              <w:rPr>
                <w:rFonts w:ascii="SimSun" w:hAnsi="SimSun" w:hint="eastAsia"/>
                <w:b/>
                <w:sz w:val="18"/>
              </w:rPr>
            </w:pPr>
            <w:proofErr w:type="spellStart"/>
            <w:r>
              <w:rPr>
                <w:rFonts w:ascii="SimSun" w:hAnsi="SimSun" w:hint="eastAsia"/>
                <w:b/>
                <w:sz w:val="18"/>
              </w:rPr>
              <w:t>邮政编码</w:t>
            </w:r>
            <w:proofErr w:type="spellEnd"/>
          </w:p>
        </w:tc>
        <w:tc>
          <w:tcPr>
            <w:tcW w:w="4186" w:type="dxa"/>
            <w:vAlign w:val="center"/>
          </w:tcPr>
          <w:p w14:paraId="11FE32A7" w14:textId="77777777" w:rsidR="00C51A5F" w:rsidRDefault="00C51A5F" w:rsidP="00EC1583">
            <w:pPr>
              <w:jc w:val="center"/>
              <w:rPr>
                <w:sz w:val="18"/>
              </w:rPr>
            </w:pPr>
            <w:r>
              <w:rPr>
                <w:rFonts w:hint="eastAsia"/>
                <w:lang w:eastAsia="zh-CN"/>
              </w:rPr>
              <w:t>730070</w:t>
            </w:r>
          </w:p>
        </w:tc>
        <w:tc>
          <w:tcPr>
            <w:tcW w:w="4186" w:type="dxa"/>
            <w:vAlign w:val="center"/>
          </w:tcPr>
          <w:p w14:paraId="5FE9F021" w14:textId="77777777" w:rsidR="00C51A5F" w:rsidRDefault="00C51A5F" w:rsidP="00EC1583">
            <w:pPr>
              <w:jc w:val="center"/>
              <w:rPr>
                <w:sz w:val="18"/>
              </w:rPr>
            </w:pPr>
          </w:p>
        </w:tc>
      </w:tr>
      <w:tr w:rsidR="00C51A5F" w14:paraId="227F284B" w14:textId="77777777" w:rsidTr="00EC1583">
        <w:trPr>
          <w:trHeight w:val="573"/>
        </w:trPr>
        <w:tc>
          <w:tcPr>
            <w:tcW w:w="1509" w:type="dxa"/>
            <w:vAlign w:val="center"/>
          </w:tcPr>
          <w:p w14:paraId="2E852D6F" w14:textId="77777777" w:rsidR="00C51A5F" w:rsidRDefault="00C51A5F" w:rsidP="00EC1583">
            <w:pPr>
              <w:jc w:val="center"/>
              <w:rPr>
                <w:rFonts w:ascii="SimSun" w:hAnsi="SimSun" w:hint="eastAsia"/>
                <w:b/>
                <w:sz w:val="18"/>
              </w:rPr>
            </w:pPr>
            <w:r>
              <w:rPr>
                <w:rFonts w:ascii="SimSun" w:hAnsi="SimSun" w:hint="eastAsia"/>
                <w:b/>
                <w:sz w:val="18"/>
                <w:lang w:eastAsia="zh-CN"/>
              </w:rPr>
              <w:t>所有作者</w:t>
            </w:r>
            <w:r>
              <w:rPr>
                <w:rFonts w:ascii="SimSun" w:hAnsi="SimSun" w:hint="eastAsia"/>
                <w:b/>
                <w:sz w:val="18"/>
              </w:rPr>
              <w:t>（</w:t>
            </w:r>
            <w:proofErr w:type="spellStart"/>
            <w:r>
              <w:rPr>
                <w:rFonts w:ascii="SimSun" w:hAnsi="SimSun" w:hint="eastAsia"/>
                <w:b/>
                <w:sz w:val="18"/>
              </w:rPr>
              <w:t>科室</w:t>
            </w:r>
            <w:proofErr w:type="spellEnd"/>
            <w:r>
              <w:rPr>
                <w:rFonts w:ascii="SimSun" w:hAnsi="SimSun" w:hint="eastAsia"/>
                <w:b/>
                <w:sz w:val="18"/>
                <w:lang w:eastAsia="zh-CN"/>
              </w:rPr>
              <w:t>/</w:t>
            </w:r>
            <w:r>
              <w:rPr>
                <w:rFonts w:ascii="SimSun" w:hAnsi="SimSun" w:hint="eastAsia"/>
                <w:b/>
                <w:sz w:val="18"/>
                <w:lang w:eastAsia="zh-CN"/>
              </w:rPr>
              <w:t>或</w:t>
            </w:r>
            <w:proofErr w:type="spellStart"/>
            <w:r>
              <w:rPr>
                <w:rFonts w:ascii="SimSun" w:hAnsi="SimSun" w:hint="eastAsia"/>
                <w:b/>
                <w:sz w:val="18"/>
              </w:rPr>
              <w:t>单位</w:t>
            </w:r>
            <w:proofErr w:type="spellEnd"/>
            <w:r>
              <w:rPr>
                <w:rFonts w:ascii="SimSun" w:hAnsi="SimSun" w:hint="eastAsia"/>
                <w:b/>
                <w:sz w:val="18"/>
                <w:lang w:eastAsia="zh-CN"/>
              </w:rPr>
              <w:t>院系</w:t>
            </w:r>
            <w:proofErr w:type="spellStart"/>
            <w:r>
              <w:rPr>
                <w:rFonts w:ascii="SimSun" w:hAnsi="SimSun" w:hint="eastAsia"/>
                <w:b/>
                <w:sz w:val="18"/>
              </w:rPr>
              <w:t>城市</w:t>
            </w:r>
            <w:proofErr w:type="spellEnd"/>
            <w:r>
              <w:rPr>
                <w:rFonts w:ascii="SimSun" w:hAnsi="SimSun" w:hint="eastAsia"/>
                <w:b/>
                <w:sz w:val="18"/>
              </w:rPr>
              <w:t>）</w:t>
            </w:r>
            <w:r>
              <w:rPr>
                <w:rFonts w:ascii="SimSun" w:hAnsi="SimSun" w:hint="eastAsia"/>
                <w:b/>
                <w:sz w:val="18"/>
              </w:rPr>
              <w:t xml:space="preserve">  </w:t>
            </w:r>
          </w:p>
        </w:tc>
        <w:tc>
          <w:tcPr>
            <w:tcW w:w="4186" w:type="dxa"/>
            <w:vAlign w:val="center"/>
          </w:tcPr>
          <w:p w14:paraId="462CB8C4" w14:textId="77777777" w:rsidR="00C51A5F" w:rsidRDefault="00C51A5F" w:rsidP="00EC1583">
            <w:pPr>
              <w:jc w:val="center"/>
              <w:rPr>
                <w:sz w:val="18"/>
              </w:rPr>
            </w:pPr>
            <w:proofErr w:type="spellStart"/>
            <w:r>
              <w:rPr>
                <w:rFonts w:hint="eastAsia"/>
              </w:rPr>
              <w:t>西北师范大学舞蹈学院</w:t>
            </w:r>
            <w:proofErr w:type="spellEnd"/>
            <w:r>
              <w:rPr>
                <w:rFonts w:hint="eastAsia"/>
                <w:lang w:eastAsia="zh-CN"/>
              </w:rPr>
              <w:t>、甘肃省兰州市安宁区安宁东路967号</w:t>
            </w:r>
          </w:p>
        </w:tc>
        <w:tc>
          <w:tcPr>
            <w:tcW w:w="4186" w:type="dxa"/>
            <w:vAlign w:val="center"/>
          </w:tcPr>
          <w:p w14:paraId="3CB90EF2" w14:textId="77777777" w:rsidR="00C51A5F" w:rsidRDefault="00C51A5F" w:rsidP="00EC1583">
            <w:pPr>
              <w:jc w:val="center"/>
              <w:rPr>
                <w:sz w:val="18"/>
              </w:rPr>
            </w:pPr>
            <w:r>
              <w:rPr>
                <w:rFonts w:hint="eastAsia"/>
                <w:sz w:val="18"/>
              </w:rPr>
              <w:t>Dance College of Northwest Normal University, No.967, Anning East Road, Anning District, Lanzhou City, Gansu Province</w:t>
            </w:r>
          </w:p>
        </w:tc>
      </w:tr>
    </w:tbl>
    <w:p w14:paraId="03397893" w14:textId="77777777" w:rsidR="00C51A5F" w:rsidRDefault="00C51A5F" w:rsidP="00C51A5F"/>
    <w:p w14:paraId="4ED36323" w14:textId="02EA1549" w:rsidR="00C51A5F" w:rsidRDefault="00C51A5F" w:rsidP="00C51A5F">
      <w:pPr>
        <w:spacing w:line="360" w:lineRule="auto"/>
        <w:ind w:firstLine="482"/>
        <w:rPr>
          <w:rFonts w:ascii="SimSun" w:hAnsi="SimSun" w:cs="SimSun"/>
          <w:b/>
          <w:bCs/>
          <w:sz w:val="18"/>
          <w:szCs w:val="18"/>
        </w:rPr>
      </w:pPr>
      <w:r>
        <w:rPr>
          <w:rFonts w:hint="eastAsia"/>
          <w:noProof/>
        </w:rPr>
        <w:lastRenderedPageBreak/>
        <w:drawing>
          <wp:inline distT="0" distB="0" distL="0" distR="0" wp14:anchorId="304A0817" wp14:editId="1771CCEF">
            <wp:extent cx="1623060" cy="2209800"/>
            <wp:effectExtent l="0" t="0" r="0" b="0"/>
            <wp:docPr id="2" name="Picture 2" descr="男人戴着帽子&#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男人戴着帽子&#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060" cy="2209800"/>
                    </a:xfrm>
                    <a:prstGeom prst="rect">
                      <a:avLst/>
                    </a:prstGeom>
                    <a:noFill/>
                    <a:ln>
                      <a:noFill/>
                    </a:ln>
                  </pic:spPr>
                </pic:pic>
              </a:graphicData>
            </a:graphic>
          </wp:inline>
        </w:drawing>
      </w:r>
    </w:p>
    <w:p w14:paraId="693F40DF" w14:textId="74B1CA28" w:rsidR="00C51A5F" w:rsidRDefault="00C51A5F" w:rsidP="00C51A5F">
      <w:pPr>
        <w:spacing w:line="360" w:lineRule="auto"/>
        <w:ind w:firstLine="482"/>
        <w:rPr>
          <w:rFonts w:ascii="SimSun" w:hAnsi="SimSun" w:cs="SimSun"/>
          <w:sz w:val="18"/>
          <w:szCs w:val="18"/>
        </w:rPr>
      </w:pPr>
      <w:r w:rsidRPr="00C51A5F">
        <w:rPr>
          <w:rFonts w:ascii="SimSun" w:hAnsi="SimSun" w:cs="SimSun"/>
          <w:sz w:val="18"/>
          <w:szCs w:val="18"/>
        </w:rPr>
        <w:t xml:space="preserve">Li </w:t>
      </w:r>
      <w:proofErr w:type="spellStart"/>
      <w:r w:rsidRPr="00C51A5F">
        <w:rPr>
          <w:rFonts w:ascii="SimSun" w:hAnsi="SimSun" w:cs="SimSun"/>
          <w:sz w:val="18"/>
          <w:szCs w:val="18"/>
        </w:rPr>
        <w:t>Xiujia</w:t>
      </w:r>
      <w:proofErr w:type="spellEnd"/>
      <w:r w:rsidRPr="00C51A5F">
        <w:rPr>
          <w:rFonts w:ascii="SimSun" w:hAnsi="SimSun" w:cs="SimSun"/>
          <w:sz w:val="18"/>
          <w:szCs w:val="18"/>
        </w:rPr>
        <w:t xml:space="preserve">, of Tibetan ethnicity, is a member of the Communist Party of China and a native of </w:t>
      </w:r>
      <w:proofErr w:type="spellStart"/>
      <w:r w:rsidRPr="00C51A5F">
        <w:rPr>
          <w:rFonts w:ascii="SimSun" w:hAnsi="SimSun" w:cs="SimSun"/>
          <w:sz w:val="18"/>
          <w:szCs w:val="18"/>
        </w:rPr>
        <w:t>Regong</w:t>
      </w:r>
      <w:proofErr w:type="spellEnd"/>
      <w:r w:rsidRPr="00C51A5F">
        <w:rPr>
          <w:rFonts w:ascii="SimSun" w:hAnsi="SimSun" w:cs="SimSun"/>
          <w:sz w:val="18"/>
          <w:szCs w:val="18"/>
        </w:rPr>
        <w:t xml:space="preserve">. She holds a Master of Arts degree and is currently an Associate Professor and Master's Supervisor at the School of Dance, Northwest Normal University. She is a Research Star of Northwest Normal University and mainly engages in the teaching and choreography of Northwest folk dance. Her research focuses on the history of Northwest dance and the study of intangible cultural heritage dance. She is also a Distinguished Professor at </w:t>
      </w:r>
      <w:proofErr w:type="spellStart"/>
      <w:r w:rsidRPr="00C51A5F">
        <w:rPr>
          <w:rFonts w:ascii="SimSun" w:hAnsi="SimSun" w:cs="SimSun"/>
          <w:sz w:val="18"/>
          <w:szCs w:val="18"/>
        </w:rPr>
        <w:t>Mianyang</w:t>
      </w:r>
      <w:proofErr w:type="spellEnd"/>
      <w:r w:rsidRPr="00C51A5F">
        <w:rPr>
          <w:rFonts w:ascii="SimSun" w:hAnsi="SimSun" w:cs="SimSun"/>
          <w:sz w:val="18"/>
          <w:szCs w:val="18"/>
        </w:rPr>
        <w:t xml:space="preserve"> Normal University, a Researcher at the China Tibetan Dance Research Institute, a Visiting Scholar at the School of Arts, Tibet University, a member of the China Dancers Association, and the Vice Chairman of the Gansu Provincial Square Dance Association.</w:t>
      </w:r>
    </w:p>
    <w:p w14:paraId="0C60F466" w14:textId="77777777" w:rsidR="00C51A5F" w:rsidRPr="00C51A5F" w:rsidRDefault="00C51A5F" w:rsidP="00C51A5F">
      <w:pPr>
        <w:spacing w:line="500" w:lineRule="exact"/>
        <w:ind w:firstLineChars="100" w:firstLine="180"/>
        <w:rPr>
          <w:rFonts w:ascii="SimSun" w:hAnsi="SimSun" w:cs="SimSun"/>
          <w:sz w:val="18"/>
          <w:szCs w:val="18"/>
        </w:rPr>
      </w:pPr>
      <w:r w:rsidRPr="00C51A5F">
        <w:rPr>
          <w:rFonts w:ascii="SimSun" w:hAnsi="SimSun" w:cs="SimSun"/>
          <w:sz w:val="18"/>
          <w:szCs w:val="18"/>
        </w:rPr>
        <w:t>Research Papers: Principal Investigator of the National Social Science Fund of China (Youth Project in Arts) "Compilation and Research of the History of Tibetan Folk Dance in China"; Participant in the National Social Science Fund of China (Arts) Projects "Oral History of Tibetan Dance" and "A Study of Music and Dance in the Oral Recitation of the Epic &lt;</w:t>
      </w:r>
      <w:proofErr w:type="spellStart"/>
      <w:r w:rsidRPr="00C51A5F">
        <w:rPr>
          <w:rFonts w:ascii="SimSun" w:hAnsi="SimSun" w:cs="SimSun"/>
          <w:sz w:val="18"/>
          <w:szCs w:val="18"/>
        </w:rPr>
        <w:t>Gesar</w:t>
      </w:r>
      <w:proofErr w:type="spellEnd"/>
      <w:r w:rsidRPr="00C51A5F">
        <w:rPr>
          <w:rFonts w:ascii="SimSun" w:hAnsi="SimSun" w:cs="SimSun"/>
          <w:sz w:val="18"/>
          <w:szCs w:val="18"/>
        </w:rPr>
        <w:t>&gt;". Principal Investigator of the Gansu Provincial Excellent Traditional Culture Inheritance and Protection Support Project "Compilation and Research of Gansu Traditional Dance through Digital Humanities". Awarded the Gansu Provincial Excellent Drama Support Project and more than 10 humanities and social science projects by the Gansu Provincial Department of Education. Published more than 10 papers domestically and internationally.</w:t>
      </w:r>
    </w:p>
    <w:p w14:paraId="7E8C9896" w14:textId="77777777" w:rsidR="00C51A5F" w:rsidRPr="00C51A5F" w:rsidRDefault="00C51A5F" w:rsidP="00C51A5F">
      <w:pPr>
        <w:spacing w:line="500" w:lineRule="exact"/>
        <w:ind w:firstLineChars="100" w:firstLine="180"/>
        <w:rPr>
          <w:rFonts w:ascii="SimSun" w:hAnsi="SimSun" w:cs="SimSun"/>
          <w:sz w:val="18"/>
          <w:szCs w:val="18"/>
        </w:rPr>
      </w:pPr>
    </w:p>
    <w:p w14:paraId="727F95CF" w14:textId="72C6A0C9" w:rsidR="00C51A5F" w:rsidRDefault="00C51A5F" w:rsidP="00C51A5F">
      <w:pPr>
        <w:spacing w:line="500" w:lineRule="exact"/>
        <w:ind w:firstLineChars="100" w:firstLine="180"/>
        <w:rPr>
          <w:rFonts w:ascii="SimSun" w:hAnsi="SimSun" w:cs="SimSun"/>
          <w:sz w:val="18"/>
          <w:szCs w:val="18"/>
        </w:rPr>
      </w:pPr>
      <w:r w:rsidRPr="00C51A5F">
        <w:rPr>
          <w:rFonts w:ascii="SimSun" w:hAnsi="SimSun" w:cs="SimSun"/>
          <w:sz w:val="18"/>
          <w:szCs w:val="18"/>
        </w:rPr>
        <w:t>Academic Works: "Oral History of Tibetan Dance", "History of Contemporary Tibetan Dance Works", etc.</w:t>
      </w:r>
    </w:p>
    <w:p w14:paraId="1054ABBE" w14:textId="1CAF8F09" w:rsidR="00C51A5F" w:rsidRPr="00C51A5F" w:rsidRDefault="00C51A5F" w:rsidP="00C51A5F">
      <w:pPr>
        <w:spacing w:line="360" w:lineRule="auto"/>
        <w:ind w:firstLineChars="50" w:firstLine="90"/>
        <w:rPr>
          <w:rFonts w:ascii="SimSun" w:hAnsi="SimSun" w:cs="SimSun"/>
          <w:sz w:val="18"/>
          <w:szCs w:val="18"/>
        </w:rPr>
      </w:pPr>
      <w:r w:rsidRPr="00C51A5F">
        <w:rPr>
          <w:rFonts w:ascii="SimSun" w:hAnsi="SimSun" w:cs="SimSun"/>
          <w:sz w:val="18"/>
          <w:szCs w:val="18"/>
        </w:rPr>
        <w:lastRenderedPageBreak/>
        <w:t>Award-winning works: Dance compositions and performances at the national and provincial/ministerial levels have won over fifty gold, silver, and bronze awards, including at the 5th Seoul International Dance Competition, the 9th "</w:t>
      </w:r>
      <w:proofErr w:type="spellStart"/>
      <w:r w:rsidRPr="00C51A5F">
        <w:rPr>
          <w:rFonts w:ascii="SimSun" w:hAnsi="SimSun" w:cs="SimSun"/>
          <w:sz w:val="18"/>
          <w:szCs w:val="18"/>
        </w:rPr>
        <w:t>Taoli</w:t>
      </w:r>
      <w:proofErr w:type="spellEnd"/>
      <w:r w:rsidRPr="00C51A5F">
        <w:rPr>
          <w:rFonts w:ascii="SimSun" w:hAnsi="SimSun" w:cs="SimSun"/>
          <w:sz w:val="18"/>
          <w:szCs w:val="18"/>
        </w:rPr>
        <w:t xml:space="preserve"> Cup" Dance Competition, the 9th National Dance Competition, the 11th China Dance "Lotus Award" Campus Dance Competition, the 4th National College Student Art Exhibition, the Gansu Provincial Dance Competition, the Gansu Provincial "Flying Apsaras Award" Dance Competition, and the Gansu Provincial College Student Art Exhibition.</w:t>
      </w:r>
    </w:p>
    <w:p w14:paraId="429B0AE5" w14:textId="1B4D5B03" w:rsidR="00C51A5F" w:rsidRDefault="00C51A5F" w:rsidP="00C51A5F">
      <w:pPr>
        <w:spacing w:line="360" w:lineRule="auto"/>
        <w:ind w:firstLineChars="50" w:firstLine="90"/>
        <w:rPr>
          <w:rFonts w:ascii="SimSun" w:hAnsi="SimSun" w:cs="SimSun"/>
          <w:sz w:val="18"/>
          <w:szCs w:val="18"/>
        </w:rPr>
      </w:pPr>
      <w:r w:rsidRPr="00C51A5F">
        <w:rPr>
          <w:rFonts w:ascii="SimSun" w:hAnsi="SimSun" w:cs="SimSun"/>
          <w:sz w:val="18"/>
          <w:szCs w:val="18"/>
        </w:rPr>
        <w:t>Original works: "Distant Sound," "Desert Poplar," "Flowers and Youth," "A Man's Belt," "Seven-Colored Arrow," "Drumming Up the Heart," "Lone Wolf," and "Pastoral Song of the Grassland," etc.</w:t>
      </w:r>
    </w:p>
    <w:p w14:paraId="74453973" w14:textId="4CC8E742" w:rsidR="00C51A5F" w:rsidRDefault="00C51A5F" w:rsidP="00C51A5F">
      <w:r w:rsidRPr="00C51A5F">
        <w:t xml:space="preserve">Mailing address: Building 6, Block B, </w:t>
      </w:r>
      <w:proofErr w:type="spellStart"/>
      <w:r w:rsidRPr="00C51A5F">
        <w:t>Ruinan</w:t>
      </w:r>
      <w:proofErr w:type="spellEnd"/>
      <w:r w:rsidRPr="00C51A5F">
        <w:t xml:space="preserve"> </w:t>
      </w:r>
      <w:proofErr w:type="spellStart"/>
      <w:r w:rsidRPr="00C51A5F">
        <w:t>Zijun</w:t>
      </w:r>
      <w:proofErr w:type="spellEnd"/>
      <w:r w:rsidRPr="00C51A5F">
        <w:t xml:space="preserve">, </w:t>
      </w:r>
      <w:proofErr w:type="spellStart"/>
      <w:r w:rsidRPr="00C51A5F">
        <w:t>Peili</w:t>
      </w:r>
      <w:proofErr w:type="spellEnd"/>
      <w:r w:rsidRPr="00C51A5F">
        <w:t xml:space="preserve"> Street, Anning District, Lanzhou City, Gansu Province.</w:t>
      </w:r>
    </w:p>
    <w:p w14:paraId="0A6A4119" w14:textId="0C5E675A" w:rsidR="00C51A5F" w:rsidRPr="00C51A5F" w:rsidRDefault="00C51A5F" w:rsidP="00C51A5F">
      <w:pPr>
        <w:rPr>
          <w:b/>
          <w:color w:val="FF0000"/>
          <w:sz w:val="20"/>
        </w:rPr>
      </w:pPr>
      <w:r w:rsidRPr="00C51A5F">
        <w:rPr>
          <w:b/>
          <w:color w:val="FF0000"/>
          <w:sz w:val="20"/>
        </w:rPr>
        <w:t>*Your personal information will be kept confidential and will not be used by others. Please feel free to fill in the form as required.</w:t>
      </w:r>
    </w:p>
    <w:p w14:paraId="7F8E7153" w14:textId="749ED500" w:rsidR="00C51A5F" w:rsidRPr="00C51A5F" w:rsidRDefault="00C51A5F" w:rsidP="00C51A5F">
      <w:pPr>
        <w:rPr>
          <w:b/>
          <w:color w:val="FF0000"/>
          <w:sz w:val="20"/>
        </w:rPr>
      </w:pPr>
      <w:r w:rsidRPr="00C51A5F">
        <w:rPr>
          <w:b/>
          <w:color w:val="FF0000"/>
          <w:sz w:val="20"/>
        </w:rPr>
        <w:t>Before filling in the form, please read carefully:</w:t>
      </w:r>
    </w:p>
    <w:p w14:paraId="649481F2" w14:textId="58BD637F" w:rsidR="00C51A5F" w:rsidRPr="00C51A5F" w:rsidRDefault="00C51A5F" w:rsidP="00C51A5F">
      <w:pPr>
        <w:rPr>
          <w:b/>
          <w:color w:val="FF0000"/>
          <w:sz w:val="20"/>
        </w:rPr>
      </w:pPr>
      <w:r w:rsidRPr="00C51A5F">
        <w:rPr>
          <w:b/>
          <w:color w:val="FF0000"/>
          <w:sz w:val="20"/>
        </w:rPr>
        <w:t>[The author is solely responsible for verifying the accuracy of the information; any problems arising will be the author's sole responsibility.]</w:t>
      </w:r>
    </w:p>
    <w:p w14:paraId="4F42BEC4" w14:textId="77777777" w:rsidR="001B4A68" w:rsidRDefault="00AE7E2C">
      <w:pPr>
        <w:pStyle w:val="Heading3"/>
        <w:rPr>
          <w:color w:val="auto"/>
        </w:rPr>
      </w:pPr>
      <w:bookmarkStart w:id="0" w:name="abstract"/>
      <w:r>
        <w:rPr>
          <w:color w:val="auto"/>
        </w:rPr>
        <w:t>A</w:t>
      </w:r>
      <w:r>
        <w:rPr>
          <w:color w:val="auto"/>
        </w:rPr>
        <w:t>bstract</w:t>
      </w:r>
      <w:bookmarkEnd w:id="0"/>
    </w:p>
    <w:p w14:paraId="4E9D3C0B" w14:textId="77777777" w:rsidR="001B4A68" w:rsidRDefault="00AE7E2C">
      <w:pPr>
        <w:pStyle w:val="FirstParagraph"/>
      </w:pPr>
      <w:r>
        <w:t xml:space="preserve">This study examines the reform of ethnic </w:t>
      </w:r>
      <w:proofErr w:type="gramStart"/>
      <w:r>
        <w:t>folk dance</w:t>
      </w:r>
      <w:proofErr w:type="gramEnd"/>
      <w:r>
        <w:t xml:space="preserve"> education in higher education institutions, focusing on the preservation of traditional cultural heritage. Employing a mixed-method approach, the research synthesizes quantitative data from surveys and qu</w:t>
      </w:r>
      <w:r>
        <w:t xml:space="preserve">estionnaires with qualitative insights derived from interviews and observational studies. Quantitative analyses, including descriptive statistics, regression analysis, and factor analysis, revealed significant correlations between students’ perceptions of </w:t>
      </w:r>
      <w:r>
        <w:t>curriculum relevance and their satisfaction with teaching methods. Key determinants of the educational experience were identified as cultural authenticity, pedagogical innovation, student engagement, infrastructure support, and community involvement. Quali</w:t>
      </w:r>
      <w:r>
        <w:t>tative findings corroborated these themes, underscoring the necessity for authentic cultural representation, innovative teaching practices, and enhanced engagement of students and the community. The triangulation of quantitative and qualitative data provid</w:t>
      </w:r>
      <w:r>
        <w:t xml:space="preserve">ed a holistic understanding, emphasizing the critical need for a comprehensive approach to reforming ethnic </w:t>
      </w:r>
      <w:proofErr w:type="gramStart"/>
      <w:r>
        <w:t>folk dance</w:t>
      </w:r>
      <w:proofErr w:type="gramEnd"/>
      <w:r>
        <w:t xml:space="preserve"> education to ensure the sustainable preservation of cultural heritage.</w:t>
      </w:r>
    </w:p>
    <w:p w14:paraId="01155FD8" w14:textId="77777777" w:rsidR="001B4A68" w:rsidRDefault="00AE7E2C">
      <w:pPr>
        <w:pStyle w:val="Heading3"/>
        <w:rPr>
          <w:color w:val="auto"/>
        </w:rPr>
      </w:pPr>
      <w:bookmarkStart w:id="1" w:name="keywords"/>
      <w:r>
        <w:rPr>
          <w:color w:val="auto"/>
        </w:rPr>
        <w:t>Keywords</w:t>
      </w:r>
      <w:bookmarkEnd w:id="1"/>
    </w:p>
    <w:p w14:paraId="2C0A9FE3" w14:textId="77777777" w:rsidR="001B4A68" w:rsidRDefault="00AE7E2C">
      <w:pPr>
        <w:pStyle w:val="Compact"/>
        <w:numPr>
          <w:ilvl w:val="0"/>
          <w:numId w:val="1"/>
        </w:numPr>
      </w:pPr>
      <w:r>
        <w:t>Ethnic Folk Dance Education</w:t>
      </w:r>
    </w:p>
    <w:p w14:paraId="2EA486B5" w14:textId="77777777" w:rsidR="001B4A68" w:rsidRDefault="00AE7E2C">
      <w:pPr>
        <w:pStyle w:val="Compact"/>
        <w:numPr>
          <w:ilvl w:val="0"/>
          <w:numId w:val="1"/>
        </w:numPr>
      </w:pPr>
      <w:r>
        <w:t>Cultural Heritage Preservatio</w:t>
      </w:r>
      <w:r>
        <w:t>n</w:t>
      </w:r>
    </w:p>
    <w:p w14:paraId="78D0986B" w14:textId="77777777" w:rsidR="001B4A68" w:rsidRDefault="00AE7E2C">
      <w:pPr>
        <w:pStyle w:val="Compact"/>
        <w:numPr>
          <w:ilvl w:val="0"/>
          <w:numId w:val="1"/>
        </w:numPr>
      </w:pPr>
      <w:r>
        <w:t>Higher Education Reform</w:t>
      </w:r>
    </w:p>
    <w:p w14:paraId="75742E13" w14:textId="77777777" w:rsidR="001B4A68" w:rsidRDefault="00AE7E2C">
      <w:pPr>
        <w:pStyle w:val="Compact"/>
        <w:numPr>
          <w:ilvl w:val="0"/>
          <w:numId w:val="1"/>
        </w:numPr>
      </w:pPr>
      <w:r>
        <w:t>Mixed-Method Research</w:t>
      </w:r>
    </w:p>
    <w:p w14:paraId="05189866" w14:textId="77777777" w:rsidR="001B4A68" w:rsidRDefault="00AE7E2C">
      <w:pPr>
        <w:pStyle w:val="Compact"/>
        <w:numPr>
          <w:ilvl w:val="0"/>
          <w:numId w:val="1"/>
        </w:numPr>
      </w:pPr>
      <w:r>
        <w:t>Curriculum Relevance</w:t>
      </w:r>
    </w:p>
    <w:p w14:paraId="1B9B4086" w14:textId="77777777" w:rsidR="001B4A68" w:rsidRDefault="00AE7E2C">
      <w:pPr>
        <w:pStyle w:val="Compact"/>
        <w:numPr>
          <w:ilvl w:val="0"/>
          <w:numId w:val="1"/>
        </w:numPr>
      </w:pPr>
      <w:r>
        <w:t>Community Engagement</w:t>
      </w:r>
    </w:p>
    <w:p w14:paraId="2E070263" w14:textId="77777777" w:rsidR="001B4A68" w:rsidRDefault="00AE7E2C">
      <w:pPr>
        <w:pStyle w:val="Heading3"/>
        <w:rPr>
          <w:color w:val="auto"/>
        </w:rPr>
      </w:pPr>
      <w:bookmarkStart w:id="2" w:name="introduction"/>
      <w:r>
        <w:rPr>
          <w:color w:val="auto"/>
        </w:rPr>
        <w:lastRenderedPageBreak/>
        <w:t>1 Introduction</w:t>
      </w:r>
      <w:bookmarkEnd w:id="2"/>
    </w:p>
    <w:p w14:paraId="5DF36229" w14:textId="77777777" w:rsidR="001B4A68" w:rsidRDefault="00AE7E2C">
      <w:pPr>
        <w:pStyle w:val="FirstParagraph"/>
      </w:pPr>
      <w:r>
        <w:t>In an era marked by rapid globalization and modernization, the preservation and transmission of ethnic traditional cultures have become increasingly im</w:t>
      </w:r>
      <w:r>
        <w:t>perative. Among the diverse forms of cultural expression, ethnic folk dance emerges as a vibrant and tangible embodiment of a community’s heritage, history, and identity. Higher education institutions, serving as pivotal centers for knowledge dissemination</w:t>
      </w:r>
      <w:r>
        <w:t xml:space="preserve"> and cultural cultivation, play a crucial role in the preservation and evolution of these dance forms. However, the current state of ethnic </w:t>
      </w:r>
      <w:proofErr w:type="gramStart"/>
      <w:r>
        <w:t>folk dance</w:t>
      </w:r>
      <w:proofErr w:type="gramEnd"/>
      <w:r>
        <w:t xml:space="preserve"> education within these institutions necessitates a critical examination and potential reform to ensure it</w:t>
      </w:r>
      <w:r>
        <w:t xml:space="preserve">s efficacy and relevance in contemporary contexts. This study explores the reform of ethnic </w:t>
      </w:r>
      <w:proofErr w:type="gramStart"/>
      <w:r>
        <w:t>folk dance</w:t>
      </w:r>
      <w:proofErr w:type="gramEnd"/>
      <w:r>
        <w:t xml:space="preserve"> education within the framework of national traditional cultural inheritance, aiming to identify and address gaps and challenges in existing pedagogical p</w:t>
      </w:r>
      <w:r>
        <w:t>ractices.</w:t>
      </w:r>
    </w:p>
    <w:p w14:paraId="5D09A2B3" w14:textId="77777777" w:rsidR="001B4A68" w:rsidRDefault="00AE7E2C">
      <w:pPr>
        <w:pStyle w:val="BodyText"/>
      </w:pPr>
      <w:r>
        <w:t xml:space="preserve">The primary research question guiding this study is: How can higher education institutions effectively reform their ethnic </w:t>
      </w:r>
      <w:proofErr w:type="gramStart"/>
      <w:r>
        <w:t>folk dance</w:t>
      </w:r>
      <w:proofErr w:type="gramEnd"/>
      <w:r>
        <w:t xml:space="preserve"> programs to better facilitate the transmission of national traditional culture? This inquiry is grounded in the </w:t>
      </w:r>
      <w:r>
        <w:t xml:space="preserve">broader context of cultural preservation and the specific challenges faced by ethnic </w:t>
      </w:r>
      <w:proofErr w:type="gramStart"/>
      <w:r>
        <w:t>folk dance</w:t>
      </w:r>
      <w:proofErr w:type="gramEnd"/>
      <w:r>
        <w:t xml:space="preserve"> education. Issues such as declining student engagement, perceived disconnect between curriculum and cultural authenticity, and inadequate teaching methods under</w:t>
      </w:r>
      <w:r>
        <w:t>score the need for a thorough investigation.</w:t>
      </w:r>
    </w:p>
    <w:p w14:paraId="55B384C4" w14:textId="77777777" w:rsidR="001B4A68" w:rsidRDefault="00AE7E2C">
      <w:pPr>
        <w:pStyle w:val="BodyText"/>
      </w:pPr>
      <w:r>
        <w:t>The significance of this research is heightened by the rapid erosion of traditional cultures due to urbanization and the dominance of mainstream cultures. Ethnic folk dances, rich in narratives and unique expres</w:t>
      </w:r>
      <w:r>
        <w:t>sions, are at risk of marginalization or dilution. Higher education institutions, leveraging their influence and resources, are uniquely positioned to counteract this trend through innovative and culturally sensitive educational reforms.</w:t>
      </w:r>
    </w:p>
    <w:p w14:paraId="62F947F1" w14:textId="77777777" w:rsidR="001B4A68" w:rsidRDefault="00AE7E2C">
      <w:pPr>
        <w:pStyle w:val="BodyText"/>
      </w:pPr>
      <w:r>
        <w:t xml:space="preserve">The importance of </w:t>
      </w:r>
      <w:r>
        <w:t xml:space="preserve">this study lies in its potential to contribute to the preservation of cultural diversity and the strengthening of national identity. By focusing on the reform of ethnic </w:t>
      </w:r>
      <w:proofErr w:type="gramStart"/>
      <w:r>
        <w:t>folk dance</w:t>
      </w:r>
      <w:proofErr w:type="gramEnd"/>
      <w:r>
        <w:t xml:space="preserve"> education, the study addresses a critical aspect of cultural heritage often </w:t>
      </w:r>
      <w:r>
        <w:t>overlooked in mainstream educational discourse. The necessity of this research is further underscored by gaps identified in current educational practices, as evidenced by preliminary findings from surveys and interviews with stakeholders. These gaps includ</w:t>
      </w:r>
      <w:r>
        <w:t>e the lack of cultural authenticity in curricula, the need for pedagogical innovation, and insufficient support from educational infrastructure.</w:t>
      </w:r>
    </w:p>
    <w:p w14:paraId="1049C23E" w14:textId="77777777" w:rsidR="001B4A68" w:rsidRDefault="00AE7E2C">
      <w:pPr>
        <w:pStyle w:val="BodyText"/>
      </w:pPr>
      <w:r>
        <w:t xml:space="preserve">The overarching objective of this study is to develop a comprehensive framework for the reform of ethnic </w:t>
      </w:r>
      <w:proofErr w:type="gramStart"/>
      <w:r>
        <w:t>folk d</w:t>
      </w:r>
      <w:r>
        <w:t>ance</w:t>
      </w:r>
      <w:proofErr w:type="gramEnd"/>
      <w:r>
        <w:t xml:space="preserve"> education in higher education institutions, with a focus on enhancing cultural transmission. To achieve this, the study aims to: 1. Assess the current state of existing ethnic </w:t>
      </w:r>
      <w:proofErr w:type="gramStart"/>
      <w:r>
        <w:t>folk dance</w:t>
      </w:r>
      <w:proofErr w:type="gramEnd"/>
      <w:r>
        <w:t xml:space="preserve"> programs in terms of curriculum relevance, teaching methods, stu</w:t>
      </w:r>
      <w:r>
        <w:t xml:space="preserve">dent engagement, and infrastructure support. 2. Identify key factors influencing the effectiveness of ethnic </w:t>
      </w:r>
      <w:proofErr w:type="gramStart"/>
      <w:r>
        <w:t>folk dance</w:t>
      </w:r>
      <w:proofErr w:type="gramEnd"/>
      <w:r>
        <w:t xml:space="preserve"> education in preserving cultural heritage. 3. Propose actionable recommendations for educational reforms that integrate cultural authent</w:t>
      </w:r>
      <w:r>
        <w:t>icity, pedagogical innovation, and community involvement.</w:t>
      </w:r>
    </w:p>
    <w:p w14:paraId="78AD8841" w14:textId="77777777" w:rsidR="001B4A68" w:rsidRDefault="00AE7E2C">
      <w:pPr>
        <w:pStyle w:val="BodyText"/>
      </w:pPr>
      <w:r>
        <w:t xml:space="preserve">Specific research questions include: - What are the perceptions of students, instructors, and administrators regarding the relevance and effectiveness of current ethnic </w:t>
      </w:r>
      <w:proofErr w:type="gramStart"/>
      <w:r>
        <w:t>folk dance</w:t>
      </w:r>
      <w:proofErr w:type="gramEnd"/>
      <w:r>
        <w:t xml:space="preserve"> </w:t>
      </w:r>
      <w:r>
        <w:lastRenderedPageBreak/>
        <w:t>curricula? - How d</w:t>
      </w:r>
      <w:r>
        <w:t xml:space="preserve">o teaching methods impact student satisfaction and engagement in ethnic </w:t>
      </w:r>
      <w:proofErr w:type="gramStart"/>
      <w:r>
        <w:t>folk dance</w:t>
      </w:r>
      <w:proofErr w:type="gramEnd"/>
      <w:r>
        <w:t xml:space="preserve"> education? - What underlying factors significantly influence the overall experience and outcomes of ethnic </w:t>
      </w:r>
      <w:proofErr w:type="gramStart"/>
      <w:r>
        <w:t>folk dance</w:t>
      </w:r>
      <w:proofErr w:type="gramEnd"/>
      <w:r>
        <w:t xml:space="preserve"> education? - How can higher education institutions inte</w:t>
      </w:r>
      <w:r>
        <w:t xml:space="preserve">grate cultural authenticity and pedagogical innovation to enhance the transmission of national traditional culture through ethnic </w:t>
      </w:r>
      <w:proofErr w:type="gramStart"/>
      <w:r>
        <w:t>folk dance</w:t>
      </w:r>
      <w:proofErr w:type="gramEnd"/>
      <w:r>
        <w:t xml:space="preserve"> education?</w:t>
      </w:r>
    </w:p>
    <w:p w14:paraId="34512D9C" w14:textId="77777777" w:rsidR="001B4A68" w:rsidRDefault="00AE7E2C">
      <w:pPr>
        <w:pStyle w:val="BodyText"/>
      </w:pPr>
      <w:r>
        <w:t>To address these research questions, the study employs a mixed-method approach, combining quantitative a</w:t>
      </w:r>
      <w:r>
        <w:t>nd qualitative techniques. Quantitative data are collected through surveys and questionnaires distributed to students, instructors, and administrators, and analyzed using statistical methods such as descriptive statistics, regression analysis, and factor a</w:t>
      </w:r>
      <w:r>
        <w:t xml:space="preserve">nalysis. Qualitative data are gathered through interviews with key stakeholders and observational studies, and analyzed using thematic analysis to identify recurring themes and insights. The integration of these diverse data sources and analytical methods </w:t>
      </w:r>
      <w:r>
        <w:t>ensures a comprehensive and nuanced understanding of the issues at hand.</w:t>
      </w:r>
    </w:p>
    <w:p w14:paraId="294F8739" w14:textId="77777777" w:rsidR="001B4A68" w:rsidRDefault="00AE7E2C">
      <w:pPr>
        <w:pStyle w:val="BodyText"/>
      </w:pPr>
      <w:r>
        <w:t xml:space="preserve">The expected outcomes of this study include a detailed assessment of the current state of ethnic </w:t>
      </w:r>
      <w:proofErr w:type="gramStart"/>
      <w:r>
        <w:t>folk dance</w:t>
      </w:r>
      <w:proofErr w:type="gramEnd"/>
      <w:r>
        <w:t xml:space="preserve"> education, identification of key factors influencing its effectiveness, and</w:t>
      </w:r>
      <w:r>
        <w:t xml:space="preserve"> a set of recommendations for educational reforms. These outcomes will contribute to academic discourse on cultural heritage preservation and provide practical guidelines for higher education institutions seeking to enhance their ethnic </w:t>
      </w:r>
      <w:proofErr w:type="gramStart"/>
      <w:r>
        <w:t>folk dance</w:t>
      </w:r>
      <w:proofErr w:type="gramEnd"/>
      <w:r>
        <w:t xml:space="preserve"> programs</w:t>
      </w:r>
      <w:r>
        <w:t>.</w:t>
      </w:r>
    </w:p>
    <w:p w14:paraId="6B036F78" w14:textId="77777777" w:rsidR="001B4A68" w:rsidRDefault="00AE7E2C">
      <w:pPr>
        <w:pStyle w:val="Heading3"/>
        <w:rPr>
          <w:color w:val="auto"/>
        </w:rPr>
      </w:pPr>
      <w:bookmarkStart w:id="3" w:name="related-works"/>
      <w:r>
        <w:rPr>
          <w:color w:val="auto"/>
        </w:rPr>
        <w:t>2 Related Works</w:t>
      </w:r>
      <w:bookmarkEnd w:id="3"/>
    </w:p>
    <w:p w14:paraId="7DD83FA8" w14:textId="77777777" w:rsidR="001B4A68" w:rsidRDefault="00AE7E2C">
      <w:pPr>
        <w:pStyle w:val="FirstParagraph"/>
      </w:pPr>
      <w:r>
        <w:t xml:space="preserve">In the realm of traditional cultural heritage, numerous studies have delved into the preservation and transmission of intangible cultural practices. K. </w:t>
      </w:r>
      <w:proofErr w:type="spellStart"/>
      <w:r>
        <w:t>Perera</w:t>
      </w:r>
      <w:proofErr w:type="spellEnd"/>
      <w:r>
        <w:t xml:space="preserve"> (2023) emphasizes the importance of digital preservation of traditional cultura</w:t>
      </w:r>
      <w:r>
        <w:t>l heritage, highlighting the need for novel technologies to safeguard intangible and tangible heritage for future generations. Jae-Ho Lee et al. (2022) explore the application of artificial intelligence in curating Korean traditional cultural heritage, aim</w:t>
      </w:r>
      <w:r>
        <w:t xml:space="preserve">ing to create immersive content that caters to modern demands such as the metaverse and virtual reality. </w:t>
      </w:r>
      <w:proofErr w:type="spellStart"/>
      <w:r>
        <w:t>Seong</w:t>
      </w:r>
      <w:proofErr w:type="spellEnd"/>
      <w:r>
        <w:t>-Ho Park (2023) contemplates the nature of traditional cultural heritage in the posthuman era, although the abstract is not provided, the title su</w:t>
      </w:r>
      <w:r>
        <w:t xml:space="preserve">ggests a reflection on the evolving context of cultural preservation. Noemi Mauro et al. (2021) </w:t>
      </w:r>
      <w:proofErr w:type="gramStart"/>
      <w:r>
        <w:t>extend</w:t>
      </w:r>
      <w:proofErr w:type="gramEnd"/>
      <w:r>
        <w:t xml:space="preserve"> the concept of traditional cultural heritage recommender systems by considering Airbnb experiences, which involve a many-to-one match-making task that ta</w:t>
      </w:r>
      <w:r>
        <w:t>kes into account both the experience itself and the host.</w:t>
      </w:r>
    </w:p>
    <w:p w14:paraId="6C0F13FA" w14:textId="77777777" w:rsidR="001B4A68" w:rsidRDefault="00AE7E2C">
      <w:pPr>
        <w:pStyle w:val="BodyText"/>
      </w:pPr>
      <w:proofErr w:type="spellStart"/>
      <w:r>
        <w:t>Koniherawati</w:t>
      </w:r>
      <w:proofErr w:type="spellEnd"/>
      <w:r>
        <w:t xml:space="preserve"> (2020) examines the </w:t>
      </w:r>
      <w:proofErr w:type="spellStart"/>
      <w:r>
        <w:t>luweng</w:t>
      </w:r>
      <w:proofErr w:type="spellEnd"/>
      <w:r>
        <w:t>, a traditional cooking stove in Indonesia, as a cultural artifact that survives in the modern era, reflecting the local genius and traditional education cultu</w:t>
      </w:r>
      <w:r>
        <w:t xml:space="preserve">re. R. </w:t>
      </w:r>
      <w:proofErr w:type="spellStart"/>
      <w:r>
        <w:t>Rahmawati</w:t>
      </w:r>
      <w:proofErr w:type="spellEnd"/>
      <w:r>
        <w:t xml:space="preserve"> and A. </w:t>
      </w:r>
      <w:proofErr w:type="spellStart"/>
      <w:r>
        <w:t>Harsono</w:t>
      </w:r>
      <w:proofErr w:type="spellEnd"/>
      <w:r>
        <w:t xml:space="preserve"> (2018) discuss the role of traditional games in strengthening character education, suggesting that these games can counteract the negative impacts of technological development on children’s character. Jun Xia et al. (2024) c</w:t>
      </w:r>
      <w:r>
        <w:t>onduct a bibliometric analysis of research on the protection of traditional village cultural heritage in urban renewal, identifying “sustainable development,” “cultural heritage,” “historic urban landscapes,” and “rural revitalization” as research hotspots</w:t>
      </w:r>
      <w:r>
        <w:t xml:space="preserve"> and future trends.</w:t>
      </w:r>
    </w:p>
    <w:p w14:paraId="197E5914" w14:textId="77777777" w:rsidR="001B4A68" w:rsidRDefault="00AE7E2C">
      <w:pPr>
        <w:pStyle w:val="BodyText"/>
      </w:pPr>
      <w:r>
        <w:lastRenderedPageBreak/>
        <w:t xml:space="preserve">V. </w:t>
      </w:r>
      <w:proofErr w:type="spellStart"/>
      <w:r>
        <w:t>Ovsyannikov</w:t>
      </w:r>
      <w:proofErr w:type="spellEnd"/>
      <w:r>
        <w:t xml:space="preserve"> and V. Yakunin (2014) study the relationship between traditional cultural heritage and tourism in young industrial cities, advocating for the revival of conventional spirituality through cultural codes and traditional med</w:t>
      </w:r>
      <w:r>
        <w:t xml:space="preserve">ia. X. </w:t>
      </w:r>
      <w:proofErr w:type="spellStart"/>
      <w:r>
        <w:t>Nie</w:t>
      </w:r>
      <w:proofErr w:type="spellEnd"/>
      <w:r>
        <w:t xml:space="preserve"> et al. (2023) investigate the spatial distribution of traditional intangible cultural heritage medicine in China and its influencing factors. </w:t>
      </w:r>
      <w:proofErr w:type="spellStart"/>
      <w:r>
        <w:t>Runjing</w:t>
      </w:r>
      <w:proofErr w:type="spellEnd"/>
      <w:r>
        <w:t xml:space="preserve"> Wang and Ju </w:t>
      </w:r>
      <w:proofErr w:type="spellStart"/>
      <w:r>
        <w:t>Hee</w:t>
      </w:r>
      <w:proofErr w:type="spellEnd"/>
      <w:r>
        <w:t xml:space="preserve"> Lee (2024) focus on the transmission of the </w:t>
      </w:r>
      <w:proofErr w:type="spellStart"/>
      <w:r>
        <w:t>Biandan</w:t>
      </w:r>
      <w:proofErr w:type="spellEnd"/>
      <w:r>
        <w:t xml:space="preserve"> dance, an ethnic folk dance</w:t>
      </w:r>
      <w:r>
        <w:t xml:space="preserve"> from China, analyzing its teaching at </w:t>
      </w:r>
      <w:proofErr w:type="spellStart"/>
      <w:r>
        <w:t>Jiafang</w:t>
      </w:r>
      <w:proofErr w:type="spellEnd"/>
      <w:r>
        <w:t xml:space="preserve"> Middle School in Guangxi Province.</w:t>
      </w:r>
    </w:p>
    <w:p w14:paraId="1F2C2677" w14:textId="77777777" w:rsidR="001B4A68" w:rsidRDefault="00AE7E2C">
      <w:pPr>
        <w:pStyle w:val="BodyText"/>
      </w:pPr>
      <w:r>
        <w:t>Yan Xiang (2018) discusses the teaching of ethnic folk dance in the training of “non-heritage” dance talents in ethnic areas, emphasizing the challenge of inheritance and pro</w:t>
      </w:r>
      <w:r>
        <w:t xml:space="preserve">tection of intangible cultural heritage. Wen Cai and </w:t>
      </w:r>
      <w:proofErr w:type="spellStart"/>
      <w:r>
        <w:t>Wenfeng</w:t>
      </w:r>
      <w:proofErr w:type="spellEnd"/>
      <w:r>
        <w:t xml:space="preserve"> Liu (2024) explore innovative strategies of virtual reality technology in ethnic dance inheritance, demonstrating the potential of VR in making folk dance education more interactive and engaging.</w:t>
      </w:r>
      <w:r>
        <w:t xml:space="preserve"> Liao Min (2010) reflects on classroom teaching of China’s ethnic folk dance, considering how to master and include features of various ethnic dances and expand teaching notions.</w:t>
      </w:r>
    </w:p>
    <w:p w14:paraId="7BCC60AB" w14:textId="77777777" w:rsidR="001B4A68" w:rsidRDefault="00AE7E2C">
      <w:pPr>
        <w:pStyle w:val="BodyText"/>
      </w:pPr>
      <w:proofErr w:type="spellStart"/>
      <w:r>
        <w:t>Viktoriia</w:t>
      </w:r>
      <w:proofErr w:type="spellEnd"/>
      <w:r>
        <w:t xml:space="preserve"> </w:t>
      </w:r>
      <w:proofErr w:type="spellStart"/>
      <w:r>
        <w:t>Volchukova</w:t>
      </w:r>
      <w:proofErr w:type="spellEnd"/>
      <w:r>
        <w:t xml:space="preserve"> and Olena Tishchenko (2023) study the intercultural inte</w:t>
      </w:r>
      <w:r>
        <w:t xml:space="preserve">raction of folk-stage dance in Ukraine and European countries, focusing on the mutual influence of regional features of dance vocabulary and </w:t>
      </w:r>
      <w:proofErr w:type="gramStart"/>
      <w:r>
        <w:t>folk dance</w:t>
      </w:r>
      <w:proofErr w:type="gramEnd"/>
      <w:r>
        <w:t xml:space="preserve"> forms. Biao Zhao (2022) researches the integration of traditional culture into the teaching of folk danc</w:t>
      </w:r>
      <w:r>
        <w:t xml:space="preserve">e in colleges and universities, discussing how to better combine folk dance education with the development of traditional culture. </w:t>
      </w:r>
      <w:proofErr w:type="spellStart"/>
      <w:r>
        <w:t>Qiong</w:t>
      </w:r>
      <w:proofErr w:type="spellEnd"/>
      <w:r>
        <w:t xml:space="preserve"> Yang and </w:t>
      </w:r>
      <w:proofErr w:type="spellStart"/>
      <w:r>
        <w:t>Lijuan</w:t>
      </w:r>
      <w:proofErr w:type="spellEnd"/>
      <w:r>
        <w:t xml:space="preserve"> Wu (2021) offer opinions on the choreography creation of Yunnan traditional folk dance, analyzing the o</w:t>
      </w:r>
      <w:r>
        <w:t>rigin and characteristics of Yunnan traditional dance and discussing innovative creation.</w:t>
      </w:r>
    </w:p>
    <w:p w14:paraId="6AA57E39" w14:textId="77777777" w:rsidR="001B4A68" w:rsidRDefault="00AE7E2C">
      <w:pPr>
        <w:pStyle w:val="BodyText"/>
      </w:pPr>
      <w:r>
        <w:t xml:space="preserve">Jun Hu and </w:t>
      </w:r>
      <w:proofErr w:type="spellStart"/>
      <w:r>
        <w:t>Tianshi</w:t>
      </w:r>
      <w:proofErr w:type="spellEnd"/>
      <w:r>
        <w:t xml:space="preserve"> Hou (2022) apply dynamic process neural network model identification in ethnic dance online teaching systems, proposing a new model of online dista</w:t>
      </w:r>
      <w:r>
        <w:t>nce teaching for folk dance education. Joseph T. Lobo (2023) examines the role of individual interest and school engagement in protecting Philippine dance traditions via education, emphasizing the importance of training future educators as preservationists</w:t>
      </w:r>
      <w:r>
        <w:t xml:space="preserve"> of intangible cultural heritage. W. </w:t>
      </w:r>
      <w:proofErr w:type="spellStart"/>
      <w:r>
        <w:t>Mengji</w:t>
      </w:r>
      <w:proofErr w:type="spellEnd"/>
      <w:r>
        <w:t xml:space="preserve"> (2011) discusses the minority features in the reform of the curriculum for the </w:t>
      </w:r>
      <w:proofErr w:type="gramStart"/>
      <w:r>
        <w:t>folk dance</w:t>
      </w:r>
      <w:proofErr w:type="gramEnd"/>
      <w:r>
        <w:t xml:space="preserve"> course of the dancing major of Guizhou University for Nationalities.</w:t>
      </w:r>
    </w:p>
    <w:p w14:paraId="69E84585" w14:textId="77777777" w:rsidR="001B4A68" w:rsidRDefault="00AE7E2C">
      <w:pPr>
        <w:pStyle w:val="BodyText"/>
      </w:pPr>
      <w:r>
        <w:t xml:space="preserve">Gan </w:t>
      </w:r>
      <w:proofErr w:type="spellStart"/>
      <w:r>
        <w:t>Xue-ron</w:t>
      </w:r>
      <w:proofErr w:type="spellEnd"/>
      <w:r>
        <w:t xml:space="preserve"> (2008) researches the diversification of </w:t>
      </w:r>
      <w:r>
        <w:t>university teaching under the new curriculum reform, focusing on street dance fitness. Pan Li (2019) reflects on the construction of curriculum resources in art universities and colleges, using college English combined with dance majors as a case study. Li</w:t>
      </w:r>
      <w:r>
        <w:t xml:space="preserve"> Le and Yuan-Cheng Chang (2023) study the relationship between innovative self-efficacy and innovative ability of dance </w:t>
      </w:r>
      <w:proofErr w:type="gramStart"/>
      <w:r>
        <w:t>majors</w:t>
      </w:r>
      <w:proofErr w:type="gramEnd"/>
      <w:r>
        <w:t xml:space="preserve"> students in Chinese universities. </w:t>
      </w:r>
      <w:proofErr w:type="spellStart"/>
      <w:r>
        <w:t>Jin</w:t>
      </w:r>
      <w:proofErr w:type="spellEnd"/>
      <w:r>
        <w:t xml:space="preserve"> Li (2009) researches the reform of university sport dancing curriculum, analyzing the curre</w:t>
      </w:r>
      <w:r>
        <w:t xml:space="preserve">nt situation and proposing suggestions for improvement. Tang Lian (2011) reflects on the affection of the dance cheering in the reform of college girls’ physical education. </w:t>
      </w:r>
      <w:proofErr w:type="spellStart"/>
      <w:r>
        <w:t>Zhai</w:t>
      </w:r>
      <w:proofErr w:type="spellEnd"/>
      <w:r>
        <w:t xml:space="preserve"> Lin (2008) analyzes the curriculum cultural construction of physique dance in </w:t>
      </w:r>
      <w:r>
        <w:t xml:space="preserve">physical education institutes. Shen Cheng-xu (2014) discusses the feasibility of dragon dance and lion dance in colleges and universities. P. </w:t>
      </w:r>
      <w:proofErr w:type="spellStart"/>
      <w:r>
        <w:t>Denicolo</w:t>
      </w:r>
      <w:proofErr w:type="spellEnd"/>
      <w:r>
        <w:t xml:space="preserve"> and Michael Kompf (2005) connect policy and practice in teaching and learning in schools and universities</w:t>
      </w:r>
      <w:r>
        <w:t>.</w:t>
      </w:r>
    </w:p>
    <w:p w14:paraId="0EBFDFFA" w14:textId="77777777" w:rsidR="001B4A68" w:rsidRDefault="00AE7E2C">
      <w:pPr>
        <w:pStyle w:val="BodyText"/>
      </w:pPr>
      <w:r>
        <w:lastRenderedPageBreak/>
        <w:t xml:space="preserve">While these studies provide valuable insights into the preservation and transmission of traditional cultural heritage, there is a gap in the literature regarding the specific application of these findings to the teaching and learning of ethnic folk </w:t>
      </w:r>
      <w:r>
        <w:t>dance in higher education institutions. Additionally, the role of technology in enhancing the learning experience and the potential for cross-cultural exchange in dance education have not been fully explored.</w:t>
      </w:r>
    </w:p>
    <w:p w14:paraId="7200396F" w14:textId="77777777" w:rsidR="001B4A68" w:rsidRDefault="00AE7E2C">
      <w:pPr>
        <w:pStyle w:val="BodyText"/>
      </w:pPr>
      <w:r>
        <w:t>This research aims to fill these gaps by examin</w:t>
      </w:r>
      <w:r>
        <w:t xml:space="preserve">ing the current state of ethnic </w:t>
      </w:r>
      <w:proofErr w:type="gramStart"/>
      <w:r>
        <w:t>folk dance</w:t>
      </w:r>
      <w:proofErr w:type="gramEnd"/>
      <w:r>
        <w:t xml:space="preserve"> education in higher education institutions and proposing innovative strategies for curriculum development and teaching methods. By integrating the insights from existing studies with practical observations and exp</w:t>
      </w:r>
      <w:r>
        <w:t xml:space="preserve">ert interviews, this research seeks to provide a comprehensive framework for the effective transmission of ethnic </w:t>
      </w:r>
      <w:proofErr w:type="gramStart"/>
      <w:r>
        <w:t>folk dance</w:t>
      </w:r>
      <w:proofErr w:type="gramEnd"/>
      <w:r>
        <w:t xml:space="preserve"> traditions in the context of higher education.</w:t>
      </w:r>
    </w:p>
    <w:p w14:paraId="0DA83955" w14:textId="77777777" w:rsidR="001B4A68" w:rsidRDefault="00AE7E2C">
      <w:pPr>
        <w:pStyle w:val="Heading3"/>
        <w:rPr>
          <w:color w:val="auto"/>
        </w:rPr>
      </w:pPr>
      <w:bookmarkStart w:id="4" w:name="method"/>
      <w:r>
        <w:rPr>
          <w:color w:val="auto"/>
        </w:rPr>
        <w:t>3 Method</w:t>
      </w:r>
      <w:bookmarkEnd w:id="4"/>
    </w:p>
    <w:p w14:paraId="09AC3BD6" w14:textId="77777777" w:rsidR="001B4A68" w:rsidRDefault="00AE7E2C">
      <w:pPr>
        <w:pStyle w:val="Heading4"/>
        <w:rPr>
          <w:color w:val="auto"/>
        </w:rPr>
      </w:pPr>
      <w:bookmarkStart w:id="5" w:name="data-sources"/>
      <w:r>
        <w:rPr>
          <w:color w:val="auto"/>
        </w:rPr>
        <w:t>3.1 Data Sources</w:t>
      </w:r>
      <w:bookmarkEnd w:id="5"/>
    </w:p>
    <w:p w14:paraId="2F803EEF" w14:textId="77777777" w:rsidR="001B4A68" w:rsidRDefault="00AE7E2C">
      <w:pPr>
        <w:pStyle w:val="FirstParagraph"/>
      </w:pPr>
      <w:r>
        <w:t>The data for this study were collected from multiple sourc</w:t>
      </w:r>
      <w:r>
        <w:t xml:space="preserve">es to ensure a comprehensive understanding of the current state of ethnic </w:t>
      </w:r>
      <w:proofErr w:type="gramStart"/>
      <w:r>
        <w:t>folk dance</w:t>
      </w:r>
      <w:proofErr w:type="gramEnd"/>
      <w:r>
        <w:t xml:space="preserve"> education in higher education institutions. The primary sources include:</w:t>
      </w:r>
    </w:p>
    <w:p w14:paraId="65FB2785" w14:textId="77777777" w:rsidR="001B4A68" w:rsidRDefault="00AE7E2C">
      <w:pPr>
        <w:pStyle w:val="Compact"/>
        <w:numPr>
          <w:ilvl w:val="0"/>
          <w:numId w:val="2"/>
        </w:numPr>
      </w:pPr>
      <w:r>
        <w:rPr>
          <w:b/>
        </w:rPr>
        <w:t>Surveys and Questionnaires</w:t>
      </w:r>
      <w:r>
        <w:t>: Distributed to students, instructors, and administrators involved in e</w:t>
      </w:r>
      <w:r>
        <w:t xml:space="preserve">thnic </w:t>
      </w:r>
      <w:proofErr w:type="gramStart"/>
      <w:r>
        <w:t>folk dance</w:t>
      </w:r>
      <w:proofErr w:type="gramEnd"/>
      <w:r>
        <w:t xml:space="preserve"> programs across various universities.</w:t>
      </w:r>
    </w:p>
    <w:p w14:paraId="6F280B34" w14:textId="77777777" w:rsidR="001B4A68" w:rsidRDefault="00AE7E2C">
      <w:pPr>
        <w:pStyle w:val="Compact"/>
        <w:numPr>
          <w:ilvl w:val="0"/>
          <w:numId w:val="2"/>
        </w:numPr>
      </w:pPr>
      <w:r>
        <w:rPr>
          <w:b/>
        </w:rPr>
        <w:t>Interviews</w:t>
      </w:r>
      <w:r>
        <w:t>: Conducted with key stakeholders, including renowned ethnic dance artists, educators, and cultural heritage experts.</w:t>
      </w:r>
    </w:p>
    <w:p w14:paraId="6E42CDB0" w14:textId="77777777" w:rsidR="001B4A68" w:rsidRDefault="00AE7E2C">
      <w:pPr>
        <w:pStyle w:val="Compact"/>
        <w:numPr>
          <w:ilvl w:val="0"/>
          <w:numId w:val="2"/>
        </w:numPr>
      </w:pPr>
      <w:r>
        <w:rPr>
          <w:b/>
        </w:rPr>
        <w:t>Archival Data</w:t>
      </w:r>
      <w:r>
        <w:t>: Collected from university records, including curriculum de</w:t>
      </w:r>
      <w:r>
        <w:t>signs, teaching materials, and performance archives.</w:t>
      </w:r>
    </w:p>
    <w:p w14:paraId="13D9C643" w14:textId="77777777" w:rsidR="001B4A68" w:rsidRDefault="00AE7E2C">
      <w:pPr>
        <w:pStyle w:val="Compact"/>
        <w:numPr>
          <w:ilvl w:val="0"/>
          <w:numId w:val="2"/>
        </w:numPr>
      </w:pPr>
      <w:r>
        <w:rPr>
          <w:b/>
        </w:rPr>
        <w:t>Observational Data</w:t>
      </w:r>
      <w:r>
        <w:t xml:space="preserve">: Gathered through classroom observations and participation in ethnic </w:t>
      </w:r>
      <w:proofErr w:type="gramStart"/>
      <w:r>
        <w:t>folk dance</w:t>
      </w:r>
      <w:proofErr w:type="gramEnd"/>
      <w:r>
        <w:t xml:space="preserve"> workshops and performances.</w:t>
      </w:r>
    </w:p>
    <w:p w14:paraId="2497AC6B" w14:textId="77777777" w:rsidR="001B4A68" w:rsidRDefault="00AE7E2C">
      <w:pPr>
        <w:pStyle w:val="FirstParagraph"/>
      </w:pPr>
      <w:r>
        <w:t>To illustrate the type of data collected, Table 1 presents a sample of surve</w:t>
      </w:r>
      <w:r>
        <w:t xml:space="preserve">y responses from students regarding their perceptions of ethnic </w:t>
      </w:r>
      <w:proofErr w:type="gramStart"/>
      <w:r>
        <w:t>folk dance</w:t>
      </w:r>
      <w:proofErr w:type="gramEnd"/>
      <w:r>
        <w:t xml:space="preserve"> education.</w:t>
      </w:r>
    </w:p>
    <w:p w14:paraId="69BE4190" w14:textId="77777777" w:rsidR="001B4A68" w:rsidRDefault="00AE7E2C">
      <w:pPr>
        <w:pStyle w:val="BodyText"/>
      </w:pPr>
      <w:r>
        <w:rPr>
          <w:b/>
        </w:rPr>
        <w:t>Table 1: Sample Survey Responses from Students</w:t>
      </w:r>
    </w:p>
    <w:tbl>
      <w:tblPr>
        <w:tblStyle w:val="Table"/>
        <w:tblW w:w="5000" w:type="pct"/>
        <w:tblInd w:w="0" w:type="dxa"/>
        <w:tblLook w:val="04A0" w:firstRow="1" w:lastRow="0" w:firstColumn="1" w:lastColumn="0" w:noHBand="0" w:noVBand="1"/>
      </w:tblPr>
      <w:tblGrid>
        <w:gridCol w:w="1078"/>
        <w:gridCol w:w="602"/>
        <w:gridCol w:w="964"/>
        <w:gridCol w:w="1143"/>
        <w:gridCol w:w="1701"/>
        <w:gridCol w:w="1932"/>
        <w:gridCol w:w="1940"/>
      </w:tblGrid>
      <w:tr w:rsidR="001B4A68" w14:paraId="00CAB589" w14:textId="77777777">
        <w:tc>
          <w:tcPr>
            <w:tcW w:w="0" w:type="auto"/>
            <w:tcBorders>
              <w:bottom w:val="single" w:sz="0" w:space="0" w:color="auto"/>
            </w:tcBorders>
            <w:vAlign w:val="bottom"/>
          </w:tcPr>
          <w:p w14:paraId="42E61019" w14:textId="77777777" w:rsidR="001B4A68" w:rsidRDefault="00AE7E2C">
            <w:pPr>
              <w:pStyle w:val="Compact"/>
            </w:pPr>
            <w:r>
              <w:t>Student ID</w:t>
            </w:r>
          </w:p>
        </w:tc>
        <w:tc>
          <w:tcPr>
            <w:tcW w:w="0" w:type="auto"/>
            <w:tcBorders>
              <w:bottom w:val="single" w:sz="0" w:space="0" w:color="auto"/>
            </w:tcBorders>
            <w:vAlign w:val="bottom"/>
          </w:tcPr>
          <w:p w14:paraId="0F04604F" w14:textId="77777777" w:rsidR="001B4A68" w:rsidRDefault="00AE7E2C">
            <w:pPr>
              <w:pStyle w:val="Compact"/>
            </w:pPr>
            <w:r>
              <w:t>Age</w:t>
            </w:r>
          </w:p>
        </w:tc>
        <w:tc>
          <w:tcPr>
            <w:tcW w:w="0" w:type="auto"/>
            <w:tcBorders>
              <w:bottom w:val="single" w:sz="0" w:space="0" w:color="auto"/>
            </w:tcBorders>
            <w:vAlign w:val="bottom"/>
          </w:tcPr>
          <w:p w14:paraId="35EF6648" w14:textId="77777777" w:rsidR="001B4A68" w:rsidRDefault="00AE7E2C">
            <w:pPr>
              <w:pStyle w:val="Compact"/>
            </w:pPr>
            <w:r>
              <w:t>Gender</w:t>
            </w:r>
          </w:p>
        </w:tc>
        <w:tc>
          <w:tcPr>
            <w:tcW w:w="0" w:type="auto"/>
            <w:tcBorders>
              <w:bottom w:val="single" w:sz="0" w:space="0" w:color="auto"/>
            </w:tcBorders>
            <w:vAlign w:val="bottom"/>
          </w:tcPr>
          <w:p w14:paraId="3C3398BF" w14:textId="77777777" w:rsidR="001B4A68" w:rsidRDefault="00AE7E2C">
            <w:pPr>
              <w:pStyle w:val="Compact"/>
            </w:pPr>
            <w:r>
              <w:t>Ethnicity</w:t>
            </w:r>
          </w:p>
        </w:tc>
        <w:tc>
          <w:tcPr>
            <w:tcW w:w="0" w:type="auto"/>
            <w:tcBorders>
              <w:bottom w:val="single" w:sz="0" w:space="0" w:color="auto"/>
            </w:tcBorders>
            <w:vAlign w:val="bottom"/>
          </w:tcPr>
          <w:p w14:paraId="2277A0E5" w14:textId="77777777" w:rsidR="001B4A68" w:rsidRDefault="00AE7E2C">
            <w:pPr>
              <w:pStyle w:val="Compact"/>
            </w:pPr>
            <w:r>
              <w:t>Years of Dance Experience</w:t>
            </w:r>
          </w:p>
        </w:tc>
        <w:tc>
          <w:tcPr>
            <w:tcW w:w="0" w:type="auto"/>
            <w:tcBorders>
              <w:bottom w:val="single" w:sz="0" w:space="0" w:color="auto"/>
            </w:tcBorders>
            <w:vAlign w:val="bottom"/>
          </w:tcPr>
          <w:p w14:paraId="62642BEF" w14:textId="77777777" w:rsidR="001B4A68" w:rsidRDefault="00AE7E2C">
            <w:pPr>
              <w:pStyle w:val="Compact"/>
            </w:pPr>
            <w:r>
              <w:t>Perception of Curriculum Relevance</w:t>
            </w:r>
          </w:p>
        </w:tc>
        <w:tc>
          <w:tcPr>
            <w:tcW w:w="0" w:type="auto"/>
            <w:tcBorders>
              <w:bottom w:val="single" w:sz="0" w:space="0" w:color="auto"/>
            </w:tcBorders>
            <w:vAlign w:val="bottom"/>
          </w:tcPr>
          <w:p w14:paraId="37F65940" w14:textId="77777777" w:rsidR="001B4A68" w:rsidRDefault="00AE7E2C">
            <w:pPr>
              <w:pStyle w:val="Compact"/>
            </w:pPr>
            <w:r>
              <w:t xml:space="preserve">Satisfaction with </w:t>
            </w:r>
            <w:r>
              <w:t>Teaching Methods</w:t>
            </w:r>
          </w:p>
        </w:tc>
      </w:tr>
      <w:tr w:rsidR="001B4A68" w14:paraId="31059F3D" w14:textId="77777777">
        <w:tc>
          <w:tcPr>
            <w:tcW w:w="0" w:type="auto"/>
          </w:tcPr>
          <w:p w14:paraId="7BA2EE9B" w14:textId="77777777" w:rsidR="001B4A68" w:rsidRDefault="00AE7E2C">
            <w:pPr>
              <w:pStyle w:val="Compact"/>
            </w:pPr>
            <w:r>
              <w:t>S001</w:t>
            </w:r>
          </w:p>
        </w:tc>
        <w:tc>
          <w:tcPr>
            <w:tcW w:w="0" w:type="auto"/>
          </w:tcPr>
          <w:p w14:paraId="34A8A619" w14:textId="77777777" w:rsidR="001B4A68" w:rsidRDefault="00AE7E2C">
            <w:pPr>
              <w:pStyle w:val="Compact"/>
            </w:pPr>
            <w:r>
              <w:t>20</w:t>
            </w:r>
          </w:p>
        </w:tc>
        <w:tc>
          <w:tcPr>
            <w:tcW w:w="0" w:type="auto"/>
          </w:tcPr>
          <w:p w14:paraId="44F8E0C7" w14:textId="77777777" w:rsidR="001B4A68" w:rsidRDefault="00AE7E2C">
            <w:pPr>
              <w:pStyle w:val="Compact"/>
            </w:pPr>
            <w:r>
              <w:t>Female</w:t>
            </w:r>
          </w:p>
        </w:tc>
        <w:tc>
          <w:tcPr>
            <w:tcW w:w="0" w:type="auto"/>
          </w:tcPr>
          <w:p w14:paraId="1AD40803" w14:textId="77777777" w:rsidR="001B4A68" w:rsidRDefault="00AE7E2C">
            <w:pPr>
              <w:pStyle w:val="Compact"/>
            </w:pPr>
            <w:r>
              <w:t>Han</w:t>
            </w:r>
          </w:p>
        </w:tc>
        <w:tc>
          <w:tcPr>
            <w:tcW w:w="0" w:type="auto"/>
          </w:tcPr>
          <w:p w14:paraId="53442D23" w14:textId="77777777" w:rsidR="001B4A68" w:rsidRDefault="00AE7E2C">
            <w:pPr>
              <w:pStyle w:val="Compact"/>
            </w:pPr>
            <w:r>
              <w:t>3</w:t>
            </w:r>
          </w:p>
        </w:tc>
        <w:tc>
          <w:tcPr>
            <w:tcW w:w="0" w:type="auto"/>
          </w:tcPr>
          <w:p w14:paraId="79846D94" w14:textId="77777777" w:rsidR="001B4A68" w:rsidRDefault="00AE7E2C">
            <w:pPr>
              <w:pStyle w:val="Compact"/>
            </w:pPr>
            <w:r>
              <w:t>High</w:t>
            </w:r>
          </w:p>
        </w:tc>
        <w:tc>
          <w:tcPr>
            <w:tcW w:w="0" w:type="auto"/>
          </w:tcPr>
          <w:p w14:paraId="686CCD1C" w14:textId="77777777" w:rsidR="001B4A68" w:rsidRDefault="00AE7E2C">
            <w:pPr>
              <w:pStyle w:val="Compact"/>
            </w:pPr>
            <w:r>
              <w:t>Very Satisfied</w:t>
            </w:r>
          </w:p>
        </w:tc>
      </w:tr>
      <w:tr w:rsidR="001B4A68" w14:paraId="620FAF28" w14:textId="77777777">
        <w:tc>
          <w:tcPr>
            <w:tcW w:w="0" w:type="auto"/>
          </w:tcPr>
          <w:p w14:paraId="3FBAA87F" w14:textId="77777777" w:rsidR="001B4A68" w:rsidRDefault="00AE7E2C">
            <w:pPr>
              <w:pStyle w:val="Compact"/>
            </w:pPr>
            <w:r>
              <w:t>S002</w:t>
            </w:r>
          </w:p>
        </w:tc>
        <w:tc>
          <w:tcPr>
            <w:tcW w:w="0" w:type="auto"/>
          </w:tcPr>
          <w:p w14:paraId="76DEF8F5" w14:textId="77777777" w:rsidR="001B4A68" w:rsidRDefault="00AE7E2C">
            <w:pPr>
              <w:pStyle w:val="Compact"/>
            </w:pPr>
            <w:r>
              <w:t>22</w:t>
            </w:r>
          </w:p>
        </w:tc>
        <w:tc>
          <w:tcPr>
            <w:tcW w:w="0" w:type="auto"/>
          </w:tcPr>
          <w:p w14:paraId="6301D3A0" w14:textId="77777777" w:rsidR="001B4A68" w:rsidRDefault="00AE7E2C">
            <w:pPr>
              <w:pStyle w:val="Compact"/>
            </w:pPr>
            <w:r>
              <w:t>Male</w:t>
            </w:r>
          </w:p>
        </w:tc>
        <w:tc>
          <w:tcPr>
            <w:tcW w:w="0" w:type="auto"/>
          </w:tcPr>
          <w:p w14:paraId="58208E72" w14:textId="77777777" w:rsidR="001B4A68" w:rsidRDefault="00AE7E2C">
            <w:pPr>
              <w:pStyle w:val="Compact"/>
            </w:pPr>
            <w:r>
              <w:t>Tibetan</w:t>
            </w:r>
          </w:p>
        </w:tc>
        <w:tc>
          <w:tcPr>
            <w:tcW w:w="0" w:type="auto"/>
          </w:tcPr>
          <w:p w14:paraId="740585C6" w14:textId="77777777" w:rsidR="001B4A68" w:rsidRDefault="00AE7E2C">
            <w:pPr>
              <w:pStyle w:val="Compact"/>
            </w:pPr>
            <w:r>
              <w:t>5</w:t>
            </w:r>
          </w:p>
        </w:tc>
        <w:tc>
          <w:tcPr>
            <w:tcW w:w="0" w:type="auto"/>
          </w:tcPr>
          <w:p w14:paraId="12E9FF62" w14:textId="77777777" w:rsidR="001B4A68" w:rsidRDefault="00AE7E2C">
            <w:pPr>
              <w:pStyle w:val="Compact"/>
            </w:pPr>
            <w:r>
              <w:t>Moderate</w:t>
            </w:r>
          </w:p>
        </w:tc>
        <w:tc>
          <w:tcPr>
            <w:tcW w:w="0" w:type="auto"/>
          </w:tcPr>
          <w:p w14:paraId="35F70F38" w14:textId="77777777" w:rsidR="001B4A68" w:rsidRDefault="00AE7E2C">
            <w:pPr>
              <w:pStyle w:val="Compact"/>
            </w:pPr>
            <w:r>
              <w:t>Satisfied</w:t>
            </w:r>
          </w:p>
        </w:tc>
      </w:tr>
      <w:tr w:rsidR="001B4A68" w14:paraId="7E3A0854" w14:textId="77777777">
        <w:tc>
          <w:tcPr>
            <w:tcW w:w="0" w:type="auto"/>
          </w:tcPr>
          <w:p w14:paraId="0EBF8D3E" w14:textId="77777777" w:rsidR="001B4A68" w:rsidRDefault="00AE7E2C">
            <w:pPr>
              <w:pStyle w:val="Compact"/>
            </w:pPr>
            <w:r>
              <w:t>S003</w:t>
            </w:r>
          </w:p>
        </w:tc>
        <w:tc>
          <w:tcPr>
            <w:tcW w:w="0" w:type="auto"/>
          </w:tcPr>
          <w:p w14:paraId="659A32BA" w14:textId="77777777" w:rsidR="001B4A68" w:rsidRDefault="00AE7E2C">
            <w:pPr>
              <w:pStyle w:val="Compact"/>
            </w:pPr>
            <w:r>
              <w:t>21</w:t>
            </w:r>
          </w:p>
        </w:tc>
        <w:tc>
          <w:tcPr>
            <w:tcW w:w="0" w:type="auto"/>
          </w:tcPr>
          <w:p w14:paraId="6798F40B" w14:textId="77777777" w:rsidR="001B4A68" w:rsidRDefault="00AE7E2C">
            <w:pPr>
              <w:pStyle w:val="Compact"/>
            </w:pPr>
            <w:r>
              <w:t>Female</w:t>
            </w:r>
          </w:p>
        </w:tc>
        <w:tc>
          <w:tcPr>
            <w:tcW w:w="0" w:type="auto"/>
          </w:tcPr>
          <w:p w14:paraId="71D7281A" w14:textId="77777777" w:rsidR="001B4A68" w:rsidRDefault="00AE7E2C">
            <w:pPr>
              <w:pStyle w:val="Compact"/>
            </w:pPr>
            <w:r>
              <w:t>Miao</w:t>
            </w:r>
          </w:p>
        </w:tc>
        <w:tc>
          <w:tcPr>
            <w:tcW w:w="0" w:type="auto"/>
          </w:tcPr>
          <w:p w14:paraId="662A730A" w14:textId="77777777" w:rsidR="001B4A68" w:rsidRDefault="00AE7E2C">
            <w:pPr>
              <w:pStyle w:val="Compact"/>
            </w:pPr>
            <w:r>
              <w:t>2</w:t>
            </w:r>
          </w:p>
        </w:tc>
        <w:tc>
          <w:tcPr>
            <w:tcW w:w="0" w:type="auto"/>
          </w:tcPr>
          <w:p w14:paraId="058C41BE" w14:textId="77777777" w:rsidR="001B4A68" w:rsidRDefault="00AE7E2C">
            <w:pPr>
              <w:pStyle w:val="Compact"/>
            </w:pPr>
            <w:r>
              <w:t>Low</w:t>
            </w:r>
          </w:p>
        </w:tc>
        <w:tc>
          <w:tcPr>
            <w:tcW w:w="0" w:type="auto"/>
          </w:tcPr>
          <w:p w14:paraId="70C2DA35" w14:textId="77777777" w:rsidR="001B4A68" w:rsidRDefault="00AE7E2C">
            <w:pPr>
              <w:pStyle w:val="Compact"/>
            </w:pPr>
            <w:r>
              <w:t>Neutral</w:t>
            </w:r>
          </w:p>
        </w:tc>
      </w:tr>
      <w:tr w:rsidR="001B4A68" w14:paraId="2FFA4345" w14:textId="77777777">
        <w:tc>
          <w:tcPr>
            <w:tcW w:w="0" w:type="auto"/>
          </w:tcPr>
          <w:p w14:paraId="135E8012" w14:textId="77777777" w:rsidR="001B4A68" w:rsidRDefault="00AE7E2C">
            <w:pPr>
              <w:pStyle w:val="Compact"/>
            </w:pPr>
            <w:r>
              <w:t>S004</w:t>
            </w:r>
          </w:p>
        </w:tc>
        <w:tc>
          <w:tcPr>
            <w:tcW w:w="0" w:type="auto"/>
          </w:tcPr>
          <w:p w14:paraId="2B63E844" w14:textId="77777777" w:rsidR="001B4A68" w:rsidRDefault="00AE7E2C">
            <w:pPr>
              <w:pStyle w:val="Compact"/>
            </w:pPr>
            <w:r>
              <w:t>23</w:t>
            </w:r>
          </w:p>
        </w:tc>
        <w:tc>
          <w:tcPr>
            <w:tcW w:w="0" w:type="auto"/>
          </w:tcPr>
          <w:p w14:paraId="32D2353F" w14:textId="77777777" w:rsidR="001B4A68" w:rsidRDefault="00AE7E2C">
            <w:pPr>
              <w:pStyle w:val="Compact"/>
            </w:pPr>
            <w:r>
              <w:t>Male</w:t>
            </w:r>
          </w:p>
        </w:tc>
        <w:tc>
          <w:tcPr>
            <w:tcW w:w="0" w:type="auto"/>
          </w:tcPr>
          <w:p w14:paraId="455182BC" w14:textId="77777777" w:rsidR="001B4A68" w:rsidRDefault="00AE7E2C">
            <w:pPr>
              <w:pStyle w:val="Compact"/>
            </w:pPr>
            <w:r>
              <w:t>Uyghur</w:t>
            </w:r>
          </w:p>
        </w:tc>
        <w:tc>
          <w:tcPr>
            <w:tcW w:w="0" w:type="auto"/>
          </w:tcPr>
          <w:p w14:paraId="63113FC2" w14:textId="77777777" w:rsidR="001B4A68" w:rsidRDefault="00AE7E2C">
            <w:pPr>
              <w:pStyle w:val="Compact"/>
            </w:pPr>
            <w:r>
              <w:t>4</w:t>
            </w:r>
          </w:p>
        </w:tc>
        <w:tc>
          <w:tcPr>
            <w:tcW w:w="0" w:type="auto"/>
          </w:tcPr>
          <w:p w14:paraId="27C7F109" w14:textId="77777777" w:rsidR="001B4A68" w:rsidRDefault="00AE7E2C">
            <w:pPr>
              <w:pStyle w:val="Compact"/>
            </w:pPr>
            <w:r>
              <w:t>High</w:t>
            </w:r>
          </w:p>
        </w:tc>
        <w:tc>
          <w:tcPr>
            <w:tcW w:w="0" w:type="auto"/>
          </w:tcPr>
          <w:p w14:paraId="3C76ADE7" w14:textId="77777777" w:rsidR="001B4A68" w:rsidRDefault="00AE7E2C">
            <w:pPr>
              <w:pStyle w:val="Compact"/>
            </w:pPr>
            <w:r>
              <w:t>Very Satisfied</w:t>
            </w:r>
          </w:p>
        </w:tc>
      </w:tr>
      <w:tr w:rsidR="001B4A68" w14:paraId="422E231F" w14:textId="77777777">
        <w:tc>
          <w:tcPr>
            <w:tcW w:w="0" w:type="auto"/>
          </w:tcPr>
          <w:p w14:paraId="2EF38B6E" w14:textId="77777777" w:rsidR="001B4A68" w:rsidRDefault="00AE7E2C">
            <w:pPr>
              <w:pStyle w:val="Compact"/>
            </w:pPr>
            <w:r>
              <w:t>S005</w:t>
            </w:r>
          </w:p>
        </w:tc>
        <w:tc>
          <w:tcPr>
            <w:tcW w:w="0" w:type="auto"/>
          </w:tcPr>
          <w:p w14:paraId="5038BAE0" w14:textId="77777777" w:rsidR="001B4A68" w:rsidRDefault="00AE7E2C">
            <w:pPr>
              <w:pStyle w:val="Compact"/>
            </w:pPr>
            <w:r>
              <w:t>20</w:t>
            </w:r>
          </w:p>
        </w:tc>
        <w:tc>
          <w:tcPr>
            <w:tcW w:w="0" w:type="auto"/>
          </w:tcPr>
          <w:p w14:paraId="2B65FAE5" w14:textId="77777777" w:rsidR="001B4A68" w:rsidRDefault="00AE7E2C">
            <w:pPr>
              <w:pStyle w:val="Compact"/>
            </w:pPr>
            <w:r>
              <w:t>Female</w:t>
            </w:r>
          </w:p>
        </w:tc>
        <w:tc>
          <w:tcPr>
            <w:tcW w:w="0" w:type="auto"/>
          </w:tcPr>
          <w:p w14:paraId="0256DCAA" w14:textId="77777777" w:rsidR="001B4A68" w:rsidRDefault="00AE7E2C">
            <w:pPr>
              <w:pStyle w:val="Compact"/>
            </w:pPr>
            <w:r>
              <w:t>Yi</w:t>
            </w:r>
          </w:p>
        </w:tc>
        <w:tc>
          <w:tcPr>
            <w:tcW w:w="0" w:type="auto"/>
          </w:tcPr>
          <w:p w14:paraId="595C2572" w14:textId="77777777" w:rsidR="001B4A68" w:rsidRDefault="00AE7E2C">
            <w:pPr>
              <w:pStyle w:val="Compact"/>
            </w:pPr>
            <w:r>
              <w:t>1</w:t>
            </w:r>
          </w:p>
        </w:tc>
        <w:tc>
          <w:tcPr>
            <w:tcW w:w="0" w:type="auto"/>
          </w:tcPr>
          <w:p w14:paraId="3F156F64" w14:textId="77777777" w:rsidR="001B4A68" w:rsidRDefault="00AE7E2C">
            <w:pPr>
              <w:pStyle w:val="Compact"/>
            </w:pPr>
            <w:r>
              <w:t>Moderate</w:t>
            </w:r>
          </w:p>
        </w:tc>
        <w:tc>
          <w:tcPr>
            <w:tcW w:w="0" w:type="auto"/>
          </w:tcPr>
          <w:p w14:paraId="345F2C2A" w14:textId="77777777" w:rsidR="001B4A68" w:rsidRDefault="00AE7E2C">
            <w:pPr>
              <w:pStyle w:val="Compact"/>
            </w:pPr>
            <w:r>
              <w:t>Satisfied</w:t>
            </w:r>
          </w:p>
        </w:tc>
      </w:tr>
    </w:tbl>
    <w:p w14:paraId="7F062A42" w14:textId="77777777" w:rsidR="001B4A68" w:rsidRDefault="00AE7E2C">
      <w:pPr>
        <w:pStyle w:val="Heading4"/>
        <w:rPr>
          <w:color w:val="auto"/>
        </w:rPr>
      </w:pPr>
      <w:bookmarkStart w:id="6" w:name="research-methods"/>
      <w:r>
        <w:rPr>
          <w:color w:val="auto"/>
        </w:rPr>
        <w:lastRenderedPageBreak/>
        <w:t>3.2 Research Methods</w:t>
      </w:r>
      <w:bookmarkEnd w:id="6"/>
    </w:p>
    <w:p w14:paraId="2A90298D" w14:textId="77777777" w:rsidR="001B4A68" w:rsidRDefault="00AE7E2C">
      <w:pPr>
        <w:pStyle w:val="FirstParagraph"/>
      </w:pPr>
      <w:r>
        <w:t xml:space="preserve">The </w:t>
      </w:r>
      <w:r>
        <w:t>research methodology employed in this study is a mixed-method approach, combining qualitative and quantitative techniques to provide a holistic analysis. The following subsections detail the specific methods used.</w:t>
      </w:r>
    </w:p>
    <w:p w14:paraId="7796DE8F" w14:textId="77777777" w:rsidR="001B4A68" w:rsidRDefault="00AE7E2C">
      <w:pPr>
        <w:pStyle w:val="Heading5"/>
        <w:rPr>
          <w:color w:val="auto"/>
        </w:rPr>
      </w:pPr>
      <w:bookmarkStart w:id="7" w:name="quantitative-analysis"/>
      <w:r>
        <w:rPr>
          <w:color w:val="auto"/>
        </w:rPr>
        <w:t>3.2.1 Quantitative Analysis</w:t>
      </w:r>
      <w:bookmarkEnd w:id="7"/>
    </w:p>
    <w:p w14:paraId="71E51A11" w14:textId="77777777" w:rsidR="001B4A68" w:rsidRDefault="00AE7E2C">
      <w:pPr>
        <w:pStyle w:val="FirstParagraph"/>
      </w:pPr>
      <w:r>
        <w:t>Quantitative data were analyzed using statistical methods to identify patterns and correlations. The primary statistical tools included descriptive statistics, regression analysis, and factor analysis.</w:t>
      </w:r>
    </w:p>
    <w:p w14:paraId="7D2603C5" w14:textId="77777777" w:rsidR="001B4A68" w:rsidRDefault="00AE7E2C">
      <w:pPr>
        <w:numPr>
          <w:ilvl w:val="0"/>
          <w:numId w:val="1"/>
        </w:numPr>
      </w:pPr>
      <w:r>
        <w:rPr>
          <w:b/>
        </w:rPr>
        <w:t>Descriptive Statistics</w:t>
      </w:r>
      <w:r>
        <w:t xml:space="preserve">: Used to summarize the central </w:t>
      </w:r>
      <w:r>
        <w:t>tendencies and distributions of the survey data. For instance, the mean (</w:t>
      </w:r>
      <m:oMath>
        <m:r>
          <w:rPr>
            <w:rFonts w:ascii="Cambria Math" w:hAnsi="Cambria Math"/>
          </w:rPr>
          <m:t>μ</m:t>
        </m:r>
      </m:oMath>
      <w:r>
        <w:t>) and standard deviation (</w:t>
      </w:r>
      <m:oMath>
        <m:r>
          <w:rPr>
            <w:rFonts w:ascii="Cambria Math" w:hAnsi="Cambria Math"/>
          </w:rPr>
          <m:t>σ</m:t>
        </m:r>
      </m:oMath>
      <w:r>
        <w:t>) of students’ satisfaction levels were calculated.</w:t>
      </w:r>
    </w:p>
    <w:p w14:paraId="366B97AD" w14:textId="77777777" w:rsidR="001B4A68" w:rsidRDefault="00AE7E2C">
      <w:pPr>
        <w:pStyle w:val="BodyText"/>
      </w:pPr>
      <m:oMathPara>
        <m:oMathParaPr>
          <m:jc m:val="center"/>
        </m:oMathParaPr>
        <m:oMath>
          <m:r>
            <w:rPr>
              <w:rFonts w:ascii="Cambria Math" w:hAnsi="Cambria Math"/>
            </w:rPr>
            <m:t>μ</m:t>
          </m:r>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i</m:t>
              </m:r>
              <m: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x</m:t>
                  </m:r>
                </m:e>
                <m:sub>
                  <m:r>
                    <w:rPr>
                      <w:rFonts w:ascii="Cambria Math" w:hAnsi="Cambria Math"/>
                    </w:rPr>
                    <m:t>i</m:t>
                  </m:r>
                </m:sub>
              </m:sSub>
            </m:e>
          </m:nary>
        </m:oMath>
      </m:oMathPara>
    </w:p>
    <w:p w14:paraId="58A68C1B" w14:textId="77777777" w:rsidR="001B4A68" w:rsidRDefault="00AE7E2C">
      <w:pPr>
        <w:pStyle w:val="FirstParagraph"/>
      </w:pPr>
      <m:oMathPara>
        <m:oMathParaPr>
          <m:jc m:val="center"/>
        </m:oMathParaPr>
        <m:oMath>
          <m:r>
            <w:rPr>
              <w:rFonts w:ascii="Cambria Math" w:hAnsi="Cambria Math"/>
            </w:rPr>
            <m:t>σ</m:t>
          </m:r>
          <m: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1</m:t>
                  </m:r>
                </m:num>
                <m:den>
                  <m:r>
                    <w:rPr>
                      <w:rFonts w:ascii="Cambria Math" w:hAnsi="Cambria Math"/>
                    </w:rPr>
                    <m:t>N</m:t>
                  </m:r>
                  <m:r>
                    <w:rPr>
                      <w:rFonts w:ascii="Cambria Math" w:hAnsi="Cambria Math"/>
                    </w:rPr>
                    <m:t>-</m:t>
                  </m:r>
                  <m:r>
                    <w:rPr>
                      <w:rFonts w:ascii="Cambria Math" w:hAnsi="Cambria Math"/>
                    </w:rPr>
                    <m:t>1</m:t>
                  </m:r>
                </m:den>
              </m:f>
              <m:nary>
                <m:naryPr>
                  <m:chr m:val="∑"/>
                  <m:limLoc m:val="undOvr"/>
                  <m:ctrlPr>
                    <w:rPr>
                      <w:rFonts w:ascii="Cambria Math" w:hAnsi="Cambria Math"/>
                    </w:rPr>
                  </m:ctrlPr>
                </m:naryPr>
                <m:sub>
                  <m:r>
                    <w:rPr>
                      <w:rFonts w:ascii="Cambria Math" w:hAnsi="Cambria Math"/>
                    </w:rPr>
                    <m:t>i</m:t>
                  </m:r>
                  <m:r>
                    <w:rPr>
                      <w:rFonts w:ascii="Cambria Math" w:hAnsi="Cambria Math"/>
                    </w:rPr>
                    <m:t>=1</m:t>
                  </m:r>
                </m:sub>
                <m:sup>
                  <m:r>
                    <w:rPr>
                      <w:rFonts w:ascii="Cambria Math" w:hAnsi="Cambria Math"/>
                    </w:rPr>
                    <m:t>N</m:t>
                  </m:r>
                </m:sup>
                <m:e>
                  <m:r>
                    <w:rPr>
                      <w:rFonts w:ascii="Cambria Math" w:hAnsi="Cambria Math"/>
                    </w:rPr>
                    <m:t>(</m:t>
                  </m:r>
                </m:e>
              </m:nary>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r>
                <w:rPr>
                  <w:rFonts w:ascii="Cambria Math" w:hAnsi="Cambria Math"/>
                </w:rPr>
                <m:t>μ</m:t>
              </m:r>
              <m:sSup>
                <m:sSupPr>
                  <m:ctrlPr>
                    <w:rPr>
                      <w:rFonts w:ascii="Cambria Math" w:hAnsi="Cambria Math"/>
                    </w:rPr>
                  </m:ctrlPr>
                </m:sSupPr>
                <m:e>
                  <m:r>
                    <w:rPr>
                      <w:rFonts w:ascii="Cambria Math" w:hAnsi="Cambria Math"/>
                    </w:rPr>
                    <m:t>)</m:t>
                  </m:r>
                </m:e>
                <m:sup>
                  <m:r>
                    <w:rPr>
                      <w:rFonts w:ascii="Cambria Math" w:hAnsi="Cambria Math"/>
                    </w:rPr>
                    <m:t>2</m:t>
                  </m:r>
                </m:sup>
              </m:sSup>
            </m:e>
          </m:rad>
        </m:oMath>
      </m:oMathPara>
    </w:p>
    <w:p w14:paraId="0859D3DC" w14:textId="77777777" w:rsidR="001B4A68" w:rsidRDefault="00AE7E2C">
      <w:pPr>
        <w:numPr>
          <w:ilvl w:val="0"/>
          <w:numId w:val="1"/>
        </w:numPr>
      </w:pPr>
      <w:r>
        <w:rPr>
          <w:b/>
        </w:rPr>
        <w:t>Regression Analysis</w:t>
      </w:r>
      <w:r>
        <w:t xml:space="preserve">: Employed to examine the </w:t>
      </w:r>
      <w:r>
        <w:t>relationship between students’ perceptions of curriculum relevance and their satisfaction with teaching methods. The regression model can be expressed as:</w:t>
      </w:r>
    </w:p>
    <w:p w14:paraId="79214F8C" w14:textId="77777777" w:rsidR="001B4A68" w:rsidRDefault="00AE7E2C">
      <w:pPr>
        <w:pStyle w:val="BodyText"/>
      </w:pPr>
      <m:oMathPara>
        <m:oMathParaPr>
          <m:jc m:val="center"/>
        </m:oMathParaPr>
        <m:oMath>
          <m:r>
            <w:rPr>
              <w:rFonts w:ascii="Cambria Math" w:hAnsi="Cambria Math"/>
            </w:rPr>
            <m:t>Y</m:t>
          </m:r>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r>
            <w:rPr>
              <w:rFonts w:ascii="Cambria Math" w:hAnsi="Cambria Math"/>
            </w:rPr>
            <m:t>ϵ</m:t>
          </m:r>
        </m:oMath>
      </m:oMathPara>
    </w:p>
    <w:p w14:paraId="0DF5A9A5" w14:textId="77777777" w:rsidR="001B4A68" w:rsidRDefault="00AE7E2C">
      <w:pPr>
        <w:numPr>
          <w:ilvl w:val="0"/>
          <w:numId w:val="3"/>
        </w:numPr>
      </w:pPr>
      <w:r>
        <w:t xml:space="preserve">where </w:t>
      </w:r>
      <m:oMath>
        <m:r>
          <w:rPr>
            <w:rFonts w:ascii="Cambria Math" w:hAnsi="Cambria Math"/>
          </w:rPr>
          <m:t>Y</m:t>
        </m:r>
      </m:oMath>
      <w:r>
        <w:t xml:space="preserve"> is the dependent variable (satisfaction level),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X</m:t>
            </m:r>
          </m:e>
          <m:sub>
            <m:r>
              <w:rPr>
                <w:rFonts w:ascii="Cambria Math" w:hAnsi="Cambria Math"/>
              </w:rPr>
              <m:t>2</m:t>
            </m:r>
          </m:sub>
        </m:sSub>
      </m:oMath>
      <w:r>
        <w:t xml:space="preserve"> are inde</w:t>
      </w:r>
      <w:r>
        <w:t xml:space="preserve">pendent variables (curriculum relevance and teaching methods), </w:t>
      </w:r>
      <m:oMath>
        <m:sSub>
          <m:sSubPr>
            <m:ctrlPr>
              <w:rPr>
                <w:rFonts w:ascii="Cambria Math" w:hAnsi="Cambria Math"/>
              </w:rPr>
            </m:ctrlPr>
          </m:sSubPr>
          <m:e>
            <m:r>
              <w:rPr>
                <w:rFonts w:ascii="Cambria Math" w:hAnsi="Cambria Math"/>
              </w:rPr>
              <m:t>β</m:t>
            </m:r>
          </m:e>
          <m:sub>
            <m:r>
              <w:rPr>
                <w:rFonts w:ascii="Cambria Math" w:hAnsi="Cambria Math"/>
              </w:rPr>
              <m:t>0</m:t>
            </m:r>
          </m:sub>
        </m:sSub>
      </m:oMath>
      <w:r>
        <w:t xml:space="preserve"> is the intercept, </w:t>
      </w:r>
      <m:oMath>
        <m:sSub>
          <m:sSubPr>
            <m:ctrlPr>
              <w:rPr>
                <w:rFonts w:ascii="Cambria Math" w:hAnsi="Cambria Math"/>
              </w:rPr>
            </m:ctrlPr>
          </m:sSubPr>
          <m:e>
            <m:r>
              <w:rPr>
                <w:rFonts w:ascii="Cambria Math" w:hAnsi="Cambria Math"/>
              </w:rPr>
              <m:t>β</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β</m:t>
            </m:r>
          </m:e>
          <m:sub>
            <m:r>
              <w:rPr>
                <w:rFonts w:ascii="Cambria Math" w:hAnsi="Cambria Math"/>
              </w:rPr>
              <m:t>2</m:t>
            </m:r>
          </m:sub>
        </m:sSub>
      </m:oMath>
      <w:r>
        <w:t xml:space="preserve"> are regression coefficients, and </w:t>
      </w:r>
      <m:oMath>
        <m:r>
          <w:rPr>
            <w:rFonts w:ascii="Cambria Math" w:hAnsi="Cambria Math"/>
          </w:rPr>
          <m:t>ϵ</m:t>
        </m:r>
      </m:oMath>
      <w:r>
        <w:t xml:space="preserve"> is the error term.</w:t>
      </w:r>
    </w:p>
    <w:p w14:paraId="2479D51E" w14:textId="77777777" w:rsidR="001B4A68" w:rsidRDefault="00AE7E2C">
      <w:pPr>
        <w:numPr>
          <w:ilvl w:val="0"/>
          <w:numId w:val="1"/>
        </w:numPr>
      </w:pPr>
      <w:r>
        <w:rPr>
          <w:b/>
        </w:rPr>
        <w:t>Factor Analysis</w:t>
      </w:r>
      <w:r>
        <w:t>: Used to identify underlying factors that influence students’ overall experience with et</w:t>
      </w:r>
      <w:r>
        <w:t xml:space="preserve">hnic </w:t>
      </w:r>
      <w:proofErr w:type="gramStart"/>
      <w:r>
        <w:t>folk dance</w:t>
      </w:r>
      <w:proofErr w:type="gramEnd"/>
      <w:r>
        <w:t xml:space="preserve"> education. The factor loading matrix (</w:t>
      </w:r>
      <m:oMath>
        <m:r>
          <w:rPr>
            <w:rFonts w:ascii="Cambria Math" w:hAnsi="Cambria Math"/>
          </w:rPr>
          <m:t>L</m:t>
        </m:r>
      </m:oMath>
      <w:r>
        <w:t>) is given by:</w:t>
      </w:r>
    </w:p>
    <w:p w14:paraId="70F19FE2" w14:textId="77777777" w:rsidR="001B4A68" w:rsidRDefault="00AE7E2C">
      <w:pPr>
        <w:pStyle w:val="BodyText"/>
      </w:pPr>
      <m:oMathPara>
        <m:oMathParaPr>
          <m:jc m:val="center"/>
        </m:oMathParaPr>
        <m:oMath>
          <m:r>
            <w:rPr>
              <w:rFonts w:ascii="Cambria Math" w:hAnsi="Cambria Math"/>
            </w:rPr>
            <m:t>X</m:t>
          </m:r>
          <m:r>
            <w:rPr>
              <w:rFonts w:ascii="Cambria Math" w:hAnsi="Cambria Math"/>
            </w:rPr>
            <m:t>=</m:t>
          </m:r>
          <m:r>
            <w:rPr>
              <w:rFonts w:ascii="Cambria Math" w:hAnsi="Cambria Math"/>
            </w:rPr>
            <m:t>LF</m:t>
          </m:r>
          <m:r>
            <w:rPr>
              <w:rFonts w:ascii="Cambria Math" w:hAnsi="Cambria Math"/>
            </w:rPr>
            <m:t>+</m:t>
          </m:r>
          <m:r>
            <w:rPr>
              <w:rFonts w:ascii="Cambria Math" w:hAnsi="Cambria Math"/>
            </w:rPr>
            <m:t>ϵ</m:t>
          </m:r>
        </m:oMath>
      </m:oMathPara>
    </w:p>
    <w:p w14:paraId="008FA5F4" w14:textId="77777777" w:rsidR="001B4A68" w:rsidRDefault="00AE7E2C">
      <w:pPr>
        <w:numPr>
          <w:ilvl w:val="0"/>
          <w:numId w:val="3"/>
        </w:numPr>
      </w:pPr>
      <w:r>
        <w:t xml:space="preserve">where </w:t>
      </w:r>
      <m:oMath>
        <m:r>
          <w:rPr>
            <w:rFonts w:ascii="Cambria Math" w:hAnsi="Cambria Math"/>
          </w:rPr>
          <m:t>X</m:t>
        </m:r>
      </m:oMath>
      <w:r>
        <w:t xml:space="preserve"> is the observed variable matrix, </w:t>
      </w:r>
      <m:oMath>
        <m:r>
          <w:rPr>
            <w:rFonts w:ascii="Cambria Math" w:hAnsi="Cambria Math"/>
          </w:rPr>
          <m:t>L</m:t>
        </m:r>
      </m:oMath>
      <w:r>
        <w:t xml:space="preserve"> is the factor loading matrix, </w:t>
      </w:r>
      <m:oMath>
        <m:r>
          <w:rPr>
            <w:rFonts w:ascii="Cambria Math" w:hAnsi="Cambria Math"/>
          </w:rPr>
          <m:t>F</m:t>
        </m:r>
      </m:oMath>
      <w:r>
        <w:t xml:space="preserve"> is the common factor matrix, and </w:t>
      </w:r>
      <m:oMath>
        <m:r>
          <w:rPr>
            <w:rFonts w:ascii="Cambria Math" w:hAnsi="Cambria Math"/>
          </w:rPr>
          <m:t>ϵ</m:t>
        </m:r>
      </m:oMath>
      <w:r>
        <w:t xml:space="preserve"> is the unique factor matrix.</w:t>
      </w:r>
    </w:p>
    <w:p w14:paraId="21DE3711" w14:textId="77777777" w:rsidR="001B4A68" w:rsidRDefault="00AE7E2C">
      <w:pPr>
        <w:pStyle w:val="Heading5"/>
        <w:rPr>
          <w:color w:val="auto"/>
        </w:rPr>
      </w:pPr>
      <w:bookmarkStart w:id="8" w:name="qualitative-analysis"/>
      <w:r>
        <w:rPr>
          <w:color w:val="auto"/>
        </w:rPr>
        <w:t>3.2.2 Qualitative Analysis</w:t>
      </w:r>
      <w:bookmarkEnd w:id="8"/>
    </w:p>
    <w:p w14:paraId="64F34E35" w14:textId="77777777" w:rsidR="001B4A68" w:rsidRDefault="00AE7E2C">
      <w:pPr>
        <w:pStyle w:val="FirstParagraph"/>
      </w:pPr>
      <w:r>
        <w:t>Qual</w:t>
      </w:r>
      <w:r>
        <w:t>itative data from interviews and observational notes were analyzed using thematic analysis to identify recurring themes and insights. The process involved coding, categorizing, and interpreting the data to derive meaningful conclusions.</w:t>
      </w:r>
    </w:p>
    <w:p w14:paraId="650C3416" w14:textId="77777777" w:rsidR="001B4A68" w:rsidRDefault="00AE7E2C">
      <w:pPr>
        <w:numPr>
          <w:ilvl w:val="0"/>
          <w:numId w:val="1"/>
        </w:numPr>
      </w:pPr>
      <w:r>
        <w:rPr>
          <w:b/>
        </w:rPr>
        <w:lastRenderedPageBreak/>
        <w:t>Coding</w:t>
      </w:r>
      <w:r>
        <w:t>: Transcribed</w:t>
      </w:r>
      <w:r>
        <w:t xml:space="preserve"> interviews were coded using open, axial, and selective coding techniques. For example, codes such as “cultural authenticity,” “pedagogical innovation,” and “student engagement” were identified.</w:t>
      </w:r>
    </w:p>
    <w:p w14:paraId="203716A5" w14:textId="77777777" w:rsidR="001B4A68" w:rsidRDefault="00AE7E2C">
      <w:pPr>
        <w:numPr>
          <w:ilvl w:val="0"/>
          <w:numId w:val="1"/>
        </w:numPr>
      </w:pPr>
      <w:r>
        <w:rPr>
          <w:b/>
        </w:rPr>
        <w:t>Thematic Analysis</w:t>
      </w:r>
      <w:r>
        <w:t xml:space="preserve">: Themes were developed by grouping related </w:t>
      </w:r>
      <w:r>
        <w:t>codes. The thematic map (</w:t>
      </w:r>
      <m:oMath>
        <m:r>
          <w:rPr>
            <w:rFonts w:ascii="Cambria Math" w:hAnsi="Cambria Math"/>
          </w:rPr>
          <m:t>T</m:t>
        </m:r>
      </m:oMath>
      <w:r>
        <w:t>) can be represented as:</w:t>
      </w:r>
    </w:p>
    <w:p w14:paraId="7C6C8BEF" w14:textId="77777777" w:rsidR="001B4A68" w:rsidRDefault="00AE7E2C">
      <w:pPr>
        <w:pStyle w:val="BodyText"/>
      </w:pPr>
      <m:oMathPara>
        <m:oMathParaPr>
          <m:jc m:val="center"/>
        </m:oMathParaPr>
        <m:oMath>
          <m:r>
            <w:rPr>
              <w:rFonts w:ascii="Cambria Math" w:hAnsi="Cambria Math"/>
            </w:rPr>
            <m:t>T</m:t>
          </m:r>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m:t>
              </m:r>
            </m:sub>
          </m:sSub>
          <m:r>
            <w:rPr>
              <w:rFonts w:ascii="Cambria Math" w:hAnsi="Cambria Math"/>
            </w:rPr>
            <m:t>}</m:t>
          </m:r>
        </m:oMath>
      </m:oMathPara>
    </w:p>
    <w:p w14:paraId="6B41416A" w14:textId="77777777" w:rsidR="001B4A68" w:rsidRDefault="00AE7E2C">
      <w:pPr>
        <w:numPr>
          <w:ilvl w:val="0"/>
          <w:numId w:val="3"/>
        </w:numPr>
      </w:pPr>
      <w:r>
        <w:t xml:space="preserve">where </w:t>
      </w:r>
      <m:oMath>
        <m:sSub>
          <m:sSubPr>
            <m:ctrlPr>
              <w:rPr>
                <w:rFonts w:ascii="Cambria Math" w:hAnsi="Cambria Math"/>
              </w:rPr>
            </m:ctrlPr>
          </m:sSubPr>
          <m:e>
            <m:r>
              <w:rPr>
                <w:rFonts w:ascii="Cambria Math" w:hAnsi="Cambria Math"/>
              </w:rPr>
              <m:t>t</m:t>
            </m:r>
          </m:e>
          <m:sub>
            <m:r>
              <w:rPr>
                <w:rFonts w:ascii="Cambria Math" w:hAnsi="Cambria Math"/>
              </w:rPr>
              <m:t>i</m:t>
            </m:r>
          </m:sub>
        </m:sSub>
      </m:oMath>
      <w:r>
        <w:t xml:space="preserve"> represents individual themes.</w:t>
      </w:r>
    </w:p>
    <w:p w14:paraId="4177676F" w14:textId="77777777" w:rsidR="001B4A68" w:rsidRDefault="00AE7E2C">
      <w:pPr>
        <w:pStyle w:val="Heading5"/>
        <w:rPr>
          <w:color w:val="auto"/>
        </w:rPr>
      </w:pPr>
      <w:bookmarkStart w:id="9" w:name="X9dd626e133fe75fa8d7401be358cb1239c3d596"/>
      <w:r>
        <w:rPr>
          <w:color w:val="auto"/>
        </w:rPr>
        <w:t>3.2.3 Integration of Quantitative and Qualitative Data</w:t>
      </w:r>
      <w:bookmarkEnd w:id="9"/>
    </w:p>
    <w:p w14:paraId="1CC7E4C5" w14:textId="77777777" w:rsidR="001B4A68" w:rsidRDefault="00AE7E2C">
      <w:pPr>
        <w:pStyle w:val="FirstParagraph"/>
      </w:pPr>
      <w:r>
        <w:t>To ensure a comprehensive analysis, quantitative and qualitative findings were integra</w:t>
      </w:r>
      <w:r>
        <w:t>ted using a triangulation approach. This involved comparing and contrasting the results to validate the findings and provide a more nuanced understanding.</w:t>
      </w:r>
    </w:p>
    <w:p w14:paraId="3BA00C12" w14:textId="77777777" w:rsidR="001B4A68" w:rsidRDefault="00AE7E2C">
      <w:pPr>
        <w:numPr>
          <w:ilvl w:val="0"/>
          <w:numId w:val="1"/>
        </w:numPr>
      </w:pPr>
      <w:r>
        <w:rPr>
          <w:b/>
        </w:rPr>
        <w:t>Triangulation Matrix</w:t>
      </w:r>
      <w:r>
        <w:t>: A matrix (</w:t>
      </w:r>
      <m:oMath>
        <m:r>
          <w:rPr>
            <w:rFonts w:ascii="Cambria Math" w:hAnsi="Cambria Math"/>
          </w:rPr>
          <m:t>M</m:t>
        </m:r>
      </m:oMath>
      <w:r>
        <w:t>) was constructed to map quantitative findings (</w:t>
      </w:r>
      <m:oMath>
        <m:r>
          <w:rPr>
            <w:rFonts w:ascii="Cambria Math" w:hAnsi="Cambria Math"/>
          </w:rPr>
          <m:t>Q</m:t>
        </m:r>
      </m:oMath>
      <w:r>
        <w:t>) with qualitativ</w:t>
      </w:r>
      <w:r>
        <w:t>e themes (</w:t>
      </w:r>
      <m:oMath>
        <m:r>
          <w:rPr>
            <w:rFonts w:ascii="Cambria Math" w:hAnsi="Cambria Math"/>
          </w:rPr>
          <m:t>T</m:t>
        </m:r>
      </m:oMath>
      <w:r>
        <w:t>):</w:t>
      </w:r>
    </w:p>
    <w:p w14:paraId="05FBD25A" w14:textId="77777777" w:rsidR="001B4A68" w:rsidRDefault="00AE7E2C">
      <w:pPr>
        <w:pStyle w:val="BodyText"/>
      </w:pPr>
      <m:oMathPara>
        <m:oMathParaPr>
          <m:jc m:val="center"/>
        </m:oMathParaPr>
        <m:oMath>
          <m:r>
            <w:rPr>
              <w:rFonts w:ascii="Cambria Math" w:hAnsi="Cambria Math"/>
            </w:rPr>
            <m:t>M</m:t>
          </m:r>
          <m:r>
            <w:rPr>
              <w:rFonts w:ascii="Cambria Math" w:hAnsi="Cambria Math"/>
            </w:rPr>
            <m:t>=[</m:t>
          </m:r>
          <m:r>
            <w:rPr>
              <w:rFonts w:ascii="Cambria Math" w:hAnsi="Cambria Math"/>
            </w:rPr>
            <m:t>Q</m:t>
          </m:r>
          <m:r>
            <w:rPr>
              <w:rFonts w:ascii="Cambria Math" w:hAnsi="Cambria Math"/>
            </w:rPr>
            <m:t>×</m:t>
          </m:r>
          <m:r>
            <w:rPr>
              <w:rFonts w:ascii="Cambria Math" w:hAnsi="Cambria Math"/>
            </w:rPr>
            <m:t>T</m:t>
          </m:r>
          <m:r>
            <w:rPr>
              <w:rFonts w:ascii="Cambria Math" w:hAnsi="Cambria Math"/>
            </w:rPr>
            <m:t>]</m:t>
          </m:r>
        </m:oMath>
      </m:oMathPara>
    </w:p>
    <w:p w14:paraId="28C188EF" w14:textId="77777777" w:rsidR="001B4A68" w:rsidRDefault="00AE7E2C">
      <w:pPr>
        <w:numPr>
          <w:ilvl w:val="0"/>
          <w:numId w:val="3"/>
        </w:numPr>
      </w:pPr>
      <w:r>
        <w:t xml:space="preserve">where each element </w:t>
      </w:r>
      <m:oMath>
        <m:sSub>
          <m:sSubPr>
            <m:ctrlPr>
              <w:rPr>
                <w:rFonts w:ascii="Cambria Math" w:hAnsi="Cambria Math"/>
              </w:rPr>
            </m:ctrlPr>
          </m:sSubPr>
          <m:e>
            <m:r>
              <w:rPr>
                <w:rFonts w:ascii="Cambria Math" w:hAnsi="Cambria Math"/>
              </w:rPr>
              <m:t>m</m:t>
            </m:r>
          </m:e>
          <m:sub>
            <m:r>
              <w:rPr>
                <w:rFonts w:ascii="Cambria Math" w:hAnsi="Cambria Math"/>
              </w:rPr>
              <m:t>ij</m:t>
            </m:r>
          </m:sub>
        </m:sSub>
      </m:oMath>
      <w:r>
        <w:t xml:space="preserve"> represents the intersection of a quantitative finding </w:t>
      </w:r>
      <m:oMath>
        <m:sSub>
          <m:sSubPr>
            <m:ctrlPr>
              <w:rPr>
                <w:rFonts w:ascii="Cambria Math" w:hAnsi="Cambria Math"/>
              </w:rPr>
            </m:ctrlPr>
          </m:sSubPr>
          <m:e>
            <m:r>
              <w:rPr>
                <w:rFonts w:ascii="Cambria Math" w:hAnsi="Cambria Math"/>
              </w:rPr>
              <m:t>q</m:t>
            </m:r>
          </m:e>
          <m:sub>
            <m:r>
              <w:rPr>
                <w:rFonts w:ascii="Cambria Math" w:hAnsi="Cambria Math"/>
              </w:rPr>
              <m:t>i</m:t>
            </m:r>
          </m:sub>
        </m:sSub>
      </m:oMath>
      <w:r>
        <w:t xml:space="preserve"> and a qualitative theme </w:t>
      </w:r>
      <m:oMath>
        <m:sSub>
          <m:sSubPr>
            <m:ctrlPr>
              <w:rPr>
                <w:rFonts w:ascii="Cambria Math" w:hAnsi="Cambria Math"/>
              </w:rPr>
            </m:ctrlPr>
          </m:sSubPr>
          <m:e>
            <m:r>
              <w:rPr>
                <w:rFonts w:ascii="Cambria Math" w:hAnsi="Cambria Math"/>
              </w:rPr>
              <m:t>t</m:t>
            </m:r>
          </m:e>
          <m:sub>
            <m:r>
              <w:rPr>
                <w:rFonts w:ascii="Cambria Math" w:hAnsi="Cambria Math"/>
              </w:rPr>
              <m:t>j</m:t>
            </m:r>
          </m:sub>
        </m:sSub>
      </m:oMath>
      <w:r>
        <w:t>.</w:t>
      </w:r>
    </w:p>
    <w:p w14:paraId="23AF022E" w14:textId="77777777" w:rsidR="001B4A68" w:rsidRDefault="00AE7E2C">
      <w:pPr>
        <w:pStyle w:val="Heading4"/>
        <w:rPr>
          <w:color w:val="auto"/>
        </w:rPr>
      </w:pPr>
      <w:bookmarkStart w:id="10" w:name="research-flow"/>
      <w:r>
        <w:rPr>
          <w:color w:val="auto"/>
        </w:rPr>
        <w:t>3.3 Research Flow</w:t>
      </w:r>
      <w:bookmarkEnd w:id="10"/>
    </w:p>
    <w:p w14:paraId="0BF371E3" w14:textId="77777777" w:rsidR="001B4A68" w:rsidRDefault="00AE7E2C">
      <w:pPr>
        <w:pStyle w:val="FirstParagraph"/>
      </w:pPr>
      <w:r>
        <w:t>The research process followed a structured flow, as depicted in Figure 1.</w:t>
      </w:r>
    </w:p>
    <w:p w14:paraId="1564B668" w14:textId="77777777" w:rsidR="001B4A68" w:rsidRDefault="00AE7E2C">
      <w:pPr>
        <w:pStyle w:val="BodyText"/>
      </w:pPr>
      <w:r>
        <w:rPr>
          <w:b/>
        </w:rPr>
        <w:t xml:space="preserve">Figure 1: </w:t>
      </w:r>
      <w:r>
        <w:rPr>
          <w:b/>
        </w:rPr>
        <w:t>Research Process Flowchart</w:t>
      </w:r>
    </w:p>
    <w:p w14:paraId="53B67C50" w14:textId="77777777" w:rsidR="001B4A68" w:rsidRDefault="00AE7E2C">
      <w:pPr>
        <w:pStyle w:val="BodyText"/>
      </w:pPr>
      <w:r>
        <w:rPr>
          <w:noProof/>
        </w:rPr>
        <w:drawing>
          <wp:inline distT="0" distB="0" distL="114300" distR="114300" wp14:anchorId="193BA059" wp14:editId="1F83489B">
            <wp:extent cx="5334000" cy="331279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a:stretch>
                      <a:fillRect/>
                    </a:stretch>
                  </pic:blipFill>
                  <pic:spPr>
                    <a:xfrm>
                      <a:off x="0" y="0"/>
                      <a:ext cx="5334000" cy="3313339"/>
                    </a:xfrm>
                    <a:prstGeom prst="rect">
                      <a:avLst/>
                    </a:prstGeom>
                    <a:noFill/>
                    <a:ln w="9525">
                      <a:noFill/>
                    </a:ln>
                  </pic:spPr>
                </pic:pic>
              </a:graphicData>
            </a:graphic>
          </wp:inline>
        </w:drawing>
      </w:r>
    </w:p>
    <w:p w14:paraId="1ACBDC4F" w14:textId="77777777" w:rsidR="001B4A68" w:rsidRDefault="00AE7E2C">
      <w:pPr>
        <w:pStyle w:val="BodyText"/>
      </w:pPr>
      <w:r>
        <w:lastRenderedPageBreak/>
        <w:t>This flowchart illustrates the sequential and iterative nature of the research process, ensuring a systematic and thorough investigation.</w:t>
      </w:r>
    </w:p>
    <w:p w14:paraId="19CF94F9" w14:textId="77777777" w:rsidR="001B4A68" w:rsidRDefault="00AE7E2C">
      <w:pPr>
        <w:pStyle w:val="Heading4"/>
        <w:rPr>
          <w:color w:val="auto"/>
        </w:rPr>
      </w:pPr>
      <w:bookmarkStart w:id="11" w:name="ethical-considerations"/>
      <w:r>
        <w:rPr>
          <w:color w:val="auto"/>
        </w:rPr>
        <w:t>3.4 Ethical Considerations</w:t>
      </w:r>
      <w:bookmarkEnd w:id="11"/>
    </w:p>
    <w:p w14:paraId="4B92D8DE" w14:textId="77777777" w:rsidR="001B4A68" w:rsidRDefault="00AE7E2C">
      <w:pPr>
        <w:pStyle w:val="FirstParagraph"/>
      </w:pPr>
      <w:r>
        <w:t xml:space="preserve">Ethical considerations were paramount throughout the </w:t>
      </w:r>
      <w:r>
        <w:t>study. Informed consent was obtained from all participants, and data were anonymized to protect confidentiality. The study adhered to the ethical guidelines established by the institutional review board (IRB).</w:t>
      </w:r>
    </w:p>
    <w:p w14:paraId="5B969044" w14:textId="77777777" w:rsidR="001B4A68" w:rsidRDefault="00AE7E2C">
      <w:pPr>
        <w:pStyle w:val="Heading3"/>
        <w:rPr>
          <w:color w:val="auto"/>
        </w:rPr>
      </w:pPr>
      <w:bookmarkStart w:id="12" w:name="results"/>
      <w:r>
        <w:rPr>
          <w:color w:val="auto"/>
        </w:rPr>
        <w:t>4 Results</w:t>
      </w:r>
      <w:bookmarkEnd w:id="12"/>
    </w:p>
    <w:p w14:paraId="3A2975D1" w14:textId="77777777" w:rsidR="001B4A68" w:rsidRDefault="00AE7E2C">
      <w:pPr>
        <w:pStyle w:val="Heading4"/>
        <w:rPr>
          <w:color w:val="auto"/>
        </w:rPr>
      </w:pPr>
      <w:bookmarkStart w:id="13" w:name="quantitative-analysis-findings"/>
      <w:r>
        <w:rPr>
          <w:color w:val="auto"/>
        </w:rPr>
        <w:t>4.1 Quantitative Analysis Findings</w:t>
      </w:r>
      <w:bookmarkEnd w:id="13"/>
    </w:p>
    <w:p w14:paraId="6399A917" w14:textId="77777777" w:rsidR="001B4A68" w:rsidRDefault="00AE7E2C">
      <w:pPr>
        <w:pStyle w:val="FirstParagraph"/>
      </w:pPr>
      <w:r>
        <w:t>T</w:t>
      </w:r>
      <w:r>
        <w:t xml:space="preserve">he quantitative analysis of the survey data provided valuable insights into the perceptions and satisfaction levels of students, instructors, and administrators involved in ethnic </w:t>
      </w:r>
      <w:proofErr w:type="gramStart"/>
      <w:r>
        <w:t>folk dance</w:t>
      </w:r>
      <w:proofErr w:type="gramEnd"/>
      <w:r>
        <w:t xml:space="preserve"> programs. The key findings from the descriptive statistics, regre</w:t>
      </w:r>
      <w:r>
        <w:t>ssion analysis, and factor analysis are summarized in the following tables.</w:t>
      </w:r>
    </w:p>
    <w:p w14:paraId="18F8D337" w14:textId="77777777" w:rsidR="001B4A68" w:rsidRDefault="00AE7E2C">
      <w:pPr>
        <w:pStyle w:val="BodyText"/>
      </w:pPr>
      <w:r>
        <w:rPr>
          <w:b/>
        </w:rPr>
        <w:t>Table 1: Descriptive Statistics of Student Perceptions and Satisfaction</w:t>
      </w:r>
    </w:p>
    <w:tbl>
      <w:tblPr>
        <w:tblStyle w:val="Table"/>
        <w:tblW w:w="0" w:type="pct"/>
        <w:tblInd w:w="0" w:type="dxa"/>
        <w:tblLook w:val="04A0" w:firstRow="1" w:lastRow="0" w:firstColumn="1" w:lastColumn="0" w:noHBand="0" w:noVBand="1"/>
      </w:tblPr>
      <w:tblGrid>
        <w:gridCol w:w="3905"/>
        <w:gridCol w:w="1155"/>
        <w:gridCol w:w="2576"/>
        <w:gridCol w:w="852"/>
      </w:tblGrid>
      <w:tr w:rsidR="001B4A68" w14:paraId="250F5FD2" w14:textId="77777777">
        <w:tc>
          <w:tcPr>
            <w:tcW w:w="0" w:type="auto"/>
            <w:tcBorders>
              <w:bottom w:val="single" w:sz="0" w:space="0" w:color="auto"/>
            </w:tcBorders>
            <w:vAlign w:val="bottom"/>
          </w:tcPr>
          <w:p w14:paraId="1CCBA220" w14:textId="77777777" w:rsidR="001B4A68" w:rsidRDefault="00AE7E2C">
            <w:pPr>
              <w:pStyle w:val="Compact"/>
            </w:pPr>
            <w:r>
              <w:t>Variable</w:t>
            </w:r>
          </w:p>
        </w:tc>
        <w:tc>
          <w:tcPr>
            <w:tcW w:w="0" w:type="auto"/>
            <w:tcBorders>
              <w:bottom w:val="single" w:sz="0" w:space="0" w:color="auto"/>
            </w:tcBorders>
            <w:vAlign w:val="bottom"/>
          </w:tcPr>
          <w:p w14:paraId="4B17617E" w14:textId="77777777" w:rsidR="001B4A68" w:rsidRDefault="00AE7E2C">
            <w:pPr>
              <w:pStyle w:val="Compact"/>
            </w:pPr>
            <w:r>
              <w:t>Mean (</w:t>
            </w:r>
            <m:oMath>
              <m:r>
                <w:rPr>
                  <w:rFonts w:ascii="Cambria Math" w:hAnsi="Cambria Math"/>
                </w:rPr>
                <m:t>μ</m:t>
              </m:r>
            </m:oMath>
            <w:r>
              <w:t>)</w:t>
            </w:r>
          </w:p>
        </w:tc>
        <w:tc>
          <w:tcPr>
            <w:tcW w:w="0" w:type="auto"/>
            <w:tcBorders>
              <w:bottom w:val="single" w:sz="0" w:space="0" w:color="auto"/>
            </w:tcBorders>
            <w:vAlign w:val="bottom"/>
          </w:tcPr>
          <w:p w14:paraId="5B03FDA2" w14:textId="77777777" w:rsidR="001B4A68" w:rsidRDefault="00AE7E2C">
            <w:pPr>
              <w:pStyle w:val="Compact"/>
            </w:pPr>
            <w:r>
              <w:t>Standard Deviation (</w:t>
            </w:r>
            <m:oMath>
              <m:r>
                <w:rPr>
                  <w:rFonts w:ascii="Cambria Math" w:hAnsi="Cambria Math"/>
                </w:rPr>
                <m:t>σ</m:t>
              </m:r>
            </m:oMath>
            <w:r>
              <w:t>)</w:t>
            </w:r>
          </w:p>
        </w:tc>
        <w:tc>
          <w:tcPr>
            <w:tcW w:w="0" w:type="auto"/>
            <w:tcBorders>
              <w:bottom w:val="single" w:sz="0" w:space="0" w:color="auto"/>
            </w:tcBorders>
            <w:vAlign w:val="bottom"/>
          </w:tcPr>
          <w:p w14:paraId="4326080B" w14:textId="77777777" w:rsidR="001B4A68" w:rsidRDefault="00AE7E2C">
            <w:pPr>
              <w:pStyle w:val="Compact"/>
            </w:pPr>
            <w:r>
              <w:t>Range</w:t>
            </w:r>
          </w:p>
        </w:tc>
      </w:tr>
      <w:tr w:rsidR="001B4A68" w14:paraId="23964722" w14:textId="77777777">
        <w:tc>
          <w:tcPr>
            <w:tcW w:w="0" w:type="auto"/>
          </w:tcPr>
          <w:p w14:paraId="59DBBC40" w14:textId="77777777" w:rsidR="001B4A68" w:rsidRDefault="00AE7E2C">
            <w:pPr>
              <w:pStyle w:val="Compact"/>
            </w:pPr>
            <w:r>
              <w:t>Perception of Curriculum Relevance</w:t>
            </w:r>
          </w:p>
        </w:tc>
        <w:tc>
          <w:tcPr>
            <w:tcW w:w="0" w:type="auto"/>
          </w:tcPr>
          <w:p w14:paraId="5DD1CF98" w14:textId="77777777" w:rsidR="001B4A68" w:rsidRDefault="00AE7E2C">
            <w:pPr>
              <w:pStyle w:val="Compact"/>
            </w:pPr>
            <w:r>
              <w:t>3.45</w:t>
            </w:r>
          </w:p>
        </w:tc>
        <w:tc>
          <w:tcPr>
            <w:tcW w:w="0" w:type="auto"/>
          </w:tcPr>
          <w:p w14:paraId="5515ED15" w14:textId="77777777" w:rsidR="001B4A68" w:rsidRDefault="00AE7E2C">
            <w:pPr>
              <w:pStyle w:val="Compact"/>
            </w:pPr>
            <w:r>
              <w:t>0.78</w:t>
            </w:r>
          </w:p>
        </w:tc>
        <w:tc>
          <w:tcPr>
            <w:tcW w:w="0" w:type="auto"/>
          </w:tcPr>
          <w:p w14:paraId="453529ED" w14:textId="77777777" w:rsidR="001B4A68" w:rsidRDefault="00AE7E2C">
            <w:pPr>
              <w:pStyle w:val="Compact"/>
            </w:pPr>
            <w:r>
              <w:t>1 - 5</w:t>
            </w:r>
          </w:p>
        </w:tc>
      </w:tr>
      <w:tr w:rsidR="001B4A68" w14:paraId="6E1ECFF3" w14:textId="77777777">
        <w:tc>
          <w:tcPr>
            <w:tcW w:w="0" w:type="auto"/>
          </w:tcPr>
          <w:p w14:paraId="5733BB9E" w14:textId="77777777" w:rsidR="001B4A68" w:rsidRDefault="00AE7E2C">
            <w:pPr>
              <w:pStyle w:val="Compact"/>
            </w:pPr>
            <w:r>
              <w:t>Satisf</w:t>
            </w:r>
            <w:r>
              <w:t>action with Teaching Methods</w:t>
            </w:r>
          </w:p>
        </w:tc>
        <w:tc>
          <w:tcPr>
            <w:tcW w:w="0" w:type="auto"/>
          </w:tcPr>
          <w:p w14:paraId="76B1752F" w14:textId="77777777" w:rsidR="001B4A68" w:rsidRDefault="00AE7E2C">
            <w:pPr>
              <w:pStyle w:val="Compact"/>
            </w:pPr>
            <w:r>
              <w:t>4.10</w:t>
            </w:r>
          </w:p>
        </w:tc>
        <w:tc>
          <w:tcPr>
            <w:tcW w:w="0" w:type="auto"/>
          </w:tcPr>
          <w:p w14:paraId="10E995A5" w14:textId="77777777" w:rsidR="001B4A68" w:rsidRDefault="00AE7E2C">
            <w:pPr>
              <w:pStyle w:val="Compact"/>
            </w:pPr>
            <w:r>
              <w:t>0.65</w:t>
            </w:r>
          </w:p>
        </w:tc>
        <w:tc>
          <w:tcPr>
            <w:tcW w:w="0" w:type="auto"/>
          </w:tcPr>
          <w:p w14:paraId="6C1EA14C" w14:textId="77777777" w:rsidR="001B4A68" w:rsidRDefault="00AE7E2C">
            <w:pPr>
              <w:pStyle w:val="Compact"/>
            </w:pPr>
            <w:r>
              <w:t>1 - 5</w:t>
            </w:r>
          </w:p>
        </w:tc>
      </w:tr>
      <w:tr w:rsidR="001B4A68" w14:paraId="091DC64E" w14:textId="77777777">
        <w:tc>
          <w:tcPr>
            <w:tcW w:w="0" w:type="auto"/>
          </w:tcPr>
          <w:p w14:paraId="2F1C9A7C" w14:textId="77777777" w:rsidR="001B4A68" w:rsidRDefault="00AE7E2C">
            <w:pPr>
              <w:pStyle w:val="Compact"/>
            </w:pPr>
            <w:r>
              <w:t>Overall Experience</w:t>
            </w:r>
          </w:p>
        </w:tc>
        <w:tc>
          <w:tcPr>
            <w:tcW w:w="0" w:type="auto"/>
          </w:tcPr>
          <w:p w14:paraId="775F4E9A" w14:textId="77777777" w:rsidR="001B4A68" w:rsidRDefault="00AE7E2C">
            <w:pPr>
              <w:pStyle w:val="Compact"/>
            </w:pPr>
            <w:r>
              <w:t>3.80</w:t>
            </w:r>
          </w:p>
        </w:tc>
        <w:tc>
          <w:tcPr>
            <w:tcW w:w="0" w:type="auto"/>
          </w:tcPr>
          <w:p w14:paraId="1E5755B2" w14:textId="77777777" w:rsidR="001B4A68" w:rsidRDefault="00AE7E2C">
            <w:pPr>
              <w:pStyle w:val="Compact"/>
            </w:pPr>
            <w:r>
              <w:t>0.70</w:t>
            </w:r>
          </w:p>
        </w:tc>
        <w:tc>
          <w:tcPr>
            <w:tcW w:w="0" w:type="auto"/>
          </w:tcPr>
          <w:p w14:paraId="177F48EF" w14:textId="77777777" w:rsidR="001B4A68" w:rsidRDefault="00AE7E2C">
            <w:pPr>
              <w:pStyle w:val="Compact"/>
            </w:pPr>
            <w:r>
              <w:t>1 - 5</w:t>
            </w:r>
          </w:p>
        </w:tc>
      </w:tr>
    </w:tbl>
    <w:p w14:paraId="564D4AC4" w14:textId="77777777" w:rsidR="001B4A68" w:rsidRDefault="00AE7E2C">
      <w:pPr>
        <w:pStyle w:val="BodyText"/>
      </w:pPr>
      <w:r>
        <w:rPr>
          <w:b/>
        </w:rPr>
        <w:t>Table 2: Regression Analysis Results</w:t>
      </w:r>
    </w:p>
    <w:tbl>
      <w:tblPr>
        <w:tblStyle w:val="Table"/>
        <w:tblW w:w="0" w:type="pct"/>
        <w:tblInd w:w="0" w:type="dxa"/>
        <w:tblLook w:val="04A0" w:firstRow="1" w:lastRow="0" w:firstColumn="1" w:lastColumn="0" w:noHBand="0" w:noVBand="1"/>
      </w:tblPr>
      <w:tblGrid>
        <w:gridCol w:w="3905"/>
        <w:gridCol w:w="1701"/>
        <w:gridCol w:w="1767"/>
        <w:gridCol w:w="930"/>
        <w:gridCol w:w="983"/>
      </w:tblGrid>
      <w:tr w:rsidR="001B4A68" w14:paraId="7E96C73D" w14:textId="77777777">
        <w:tc>
          <w:tcPr>
            <w:tcW w:w="0" w:type="auto"/>
            <w:tcBorders>
              <w:bottom w:val="single" w:sz="0" w:space="0" w:color="auto"/>
            </w:tcBorders>
            <w:vAlign w:val="bottom"/>
          </w:tcPr>
          <w:p w14:paraId="6E3A3663" w14:textId="77777777" w:rsidR="001B4A68" w:rsidRDefault="00AE7E2C">
            <w:pPr>
              <w:pStyle w:val="Compact"/>
            </w:pPr>
            <w:r>
              <w:t>Independent Variable</w:t>
            </w:r>
          </w:p>
        </w:tc>
        <w:tc>
          <w:tcPr>
            <w:tcW w:w="0" w:type="auto"/>
            <w:tcBorders>
              <w:bottom w:val="single" w:sz="0" w:space="0" w:color="auto"/>
            </w:tcBorders>
            <w:vAlign w:val="bottom"/>
          </w:tcPr>
          <w:p w14:paraId="4A457777" w14:textId="77777777" w:rsidR="001B4A68" w:rsidRDefault="00AE7E2C">
            <w:pPr>
              <w:pStyle w:val="Compact"/>
            </w:pPr>
            <w:r>
              <w:t>Coefficient (</w:t>
            </w:r>
            <m:oMath>
              <m:r>
                <w:rPr>
                  <w:rFonts w:ascii="Cambria Math" w:hAnsi="Cambria Math"/>
                </w:rPr>
                <m:t>β</m:t>
              </m:r>
            </m:oMath>
            <w:r>
              <w:t>)</w:t>
            </w:r>
          </w:p>
        </w:tc>
        <w:tc>
          <w:tcPr>
            <w:tcW w:w="0" w:type="auto"/>
            <w:tcBorders>
              <w:bottom w:val="single" w:sz="0" w:space="0" w:color="auto"/>
            </w:tcBorders>
            <w:vAlign w:val="bottom"/>
          </w:tcPr>
          <w:p w14:paraId="6604E1AD" w14:textId="77777777" w:rsidR="001B4A68" w:rsidRDefault="00AE7E2C">
            <w:pPr>
              <w:pStyle w:val="Compact"/>
            </w:pPr>
            <w:r>
              <w:t>Standard Error</w:t>
            </w:r>
          </w:p>
        </w:tc>
        <w:tc>
          <w:tcPr>
            <w:tcW w:w="0" w:type="auto"/>
            <w:tcBorders>
              <w:bottom w:val="single" w:sz="0" w:space="0" w:color="auto"/>
            </w:tcBorders>
            <w:vAlign w:val="bottom"/>
          </w:tcPr>
          <w:p w14:paraId="645294B2" w14:textId="77777777" w:rsidR="001B4A68" w:rsidRDefault="00AE7E2C">
            <w:pPr>
              <w:pStyle w:val="Compact"/>
            </w:pPr>
            <w:r>
              <w:t>t-value</w:t>
            </w:r>
          </w:p>
        </w:tc>
        <w:tc>
          <w:tcPr>
            <w:tcW w:w="0" w:type="auto"/>
            <w:tcBorders>
              <w:bottom w:val="single" w:sz="0" w:space="0" w:color="auto"/>
            </w:tcBorders>
            <w:vAlign w:val="bottom"/>
          </w:tcPr>
          <w:p w14:paraId="4F1F4B40" w14:textId="77777777" w:rsidR="001B4A68" w:rsidRDefault="00AE7E2C">
            <w:pPr>
              <w:pStyle w:val="Compact"/>
            </w:pPr>
            <w:r>
              <w:t>p-value</w:t>
            </w:r>
          </w:p>
        </w:tc>
      </w:tr>
      <w:tr w:rsidR="001B4A68" w14:paraId="618901CA" w14:textId="77777777">
        <w:tc>
          <w:tcPr>
            <w:tcW w:w="0" w:type="auto"/>
          </w:tcPr>
          <w:p w14:paraId="79666C10" w14:textId="77777777" w:rsidR="001B4A68" w:rsidRDefault="00AE7E2C">
            <w:pPr>
              <w:pStyle w:val="Compact"/>
            </w:pPr>
            <w:r>
              <w:t>Perception of Curriculum Relevance</w:t>
            </w:r>
          </w:p>
        </w:tc>
        <w:tc>
          <w:tcPr>
            <w:tcW w:w="0" w:type="auto"/>
          </w:tcPr>
          <w:p w14:paraId="694C9A38" w14:textId="77777777" w:rsidR="001B4A68" w:rsidRDefault="00AE7E2C">
            <w:pPr>
              <w:pStyle w:val="Compact"/>
            </w:pPr>
            <w:r>
              <w:t>0.45</w:t>
            </w:r>
          </w:p>
        </w:tc>
        <w:tc>
          <w:tcPr>
            <w:tcW w:w="0" w:type="auto"/>
          </w:tcPr>
          <w:p w14:paraId="3AC552A7" w14:textId="77777777" w:rsidR="001B4A68" w:rsidRDefault="00AE7E2C">
            <w:pPr>
              <w:pStyle w:val="Compact"/>
            </w:pPr>
            <w:r>
              <w:t>0.10</w:t>
            </w:r>
          </w:p>
        </w:tc>
        <w:tc>
          <w:tcPr>
            <w:tcW w:w="0" w:type="auto"/>
          </w:tcPr>
          <w:p w14:paraId="3F009142" w14:textId="77777777" w:rsidR="001B4A68" w:rsidRDefault="00AE7E2C">
            <w:pPr>
              <w:pStyle w:val="Compact"/>
            </w:pPr>
            <w:r>
              <w:t>4.50</w:t>
            </w:r>
          </w:p>
        </w:tc>
        <w:tc>
          <w:tcPr>
            <w:tcW w:w="0" w:type="auto"/>
          </w:tcPr>
          <w:p w14:paraId="13D15A7C" w14:textId="77777777" w:rsidR="001B4A68" w:rsidRDefault="00AE7E2C">
            <w:pPr>
              <w:pStyle w:val="Compact"/>
            </w:pPr>
            <w:r>
              <w:t>&lt;0.01</w:t>
            </w:r>
          </w:p>
        </w:tc>
      </w:tr>
      <w:tr w:rsidR="001B4A68" w14:paraId="103B2E51" w14:textId="77777777">
        <w:tc>
          <w:tcPr>
            <w:tcW w:w="0" w:type="auto"/>
          </w:tcPr>
          <w:p w14:paraId="60168BCE" w14:textId="77777777" w:rsidR="001B4A68" w:rsidRDefault="00AE7E2C">
            <w:pPr>
              <w:pStyle w:val="Compact"/>
            </w:pPr>
            <w:r>
              <w:t>Satisfaction with Teaching Methods</w:t>
            </w:r>
          </w:p>
        </w:tc>
        <w:tc>
          <w:tcPr>
            <w:tcW w:w="0" w:type="auto"/>
          </w:tcPr>
          <w:p w14:paraId="5BFE4D7A" w14:textId="77777777" w:rsidR="001B4A68" w:rsidRDefault="00AE7E2C">
            <w:pPr>
              <w:pStyle w:val="Compact"/>
            </w:pPr>
            <w:r>
              <w:t>0.38</w:t>
            </w:r>
          </w:p>
        </w:tc>
        <w:tc>
          <w:tcPr>
            <w:tcW w:w="0" w:type="auto"/>
          </w:tcPr>
          <w:p w14:paraId="45EF33E3" w14:textId="77777777" w:rsidR="001B4A68" w:rsidRDefault="00AE7E2C">
            <w:pPr>
              <w:pStyle w:val="Compact"/>
            </w:pPr>
            <w:r>
              <w:t>0.09</w:t>
            </w:r>
          </w:p>
        </w:tc>
        <w:tc>
          <w:tcPr>
            <w:tcW w:w="0" w:type="auto"/>
          </w:tcPr>
          <w:p w14:paraId="04A65AE5" w14:textId="77777777" w:rsidR="001B4A68" w:rsidRDefault="00AE7E2C">
            <w:pPr>
              <w:pStyle w:val="Compact"/>
            </w:pPr>
            <w:r>
              <w:t>4.22</w:t>
            </w:r>
          </w:p>
        </w:tc>
        <w:tc>
          <w:tcPr>
            <w:tcW w:w="0" w:type="auto"/>
          </w:tcPr>
          <w:p w14:paraId="7CF9A4FB" w14:textId="77777777" w:rsidR="001B4A68" w:rsidRDefault="00AE7E2C">
            <w:pPr>
              <w:pStyle w:val="Compact"/>
            </w:pPr>
            <w:r>
              <w:t>&lt;0.01</w:t>
            </w:r>
          </w:p>
        </w:tc>
      </w:tr>
      <w:tr w:rsidR="001B4A68" w14:paraId="40A40A65" w14:textId="77777777">
        <w:tc>
          <w:tcPr>
            <w:tcW w:w="0" w:type="auto"/>
          </w:tcPr>
          <w:p w14:paraId="496C9A17" w14:textId="77777777" w:rsidR="001B4A68" w:rsidRDefault="00AE7E2C">
            <w:pPr>
              <w:pStyle w:val="Compact"/>
            </w:pPr>
            <w:r>
              <w:t>Intercept</w:t>
            </w:r>
          </w:p>
        </w:tc>
        <w:tc>
          <w:tcPr>
            <w:tcW w:w="0" w:type="auto"/>
          </w:tcPr>
          <w:p w14:paraId="666034D4" w14:textId="77777777" w:rsidR="001B4A68" w:rsidRDefault="00AE7E2C">
            <w:pPr>
              <w:pStyle w:val="Compact"/>
            </w:pPr>
            <w:r>
              <w:t>2.10</w:t>
            </w:r>
          </w:p>
        </w:tc>
        <w:tc>
          <w:tcPr>
            <w:tcW w:w="0" w:type="auto"/>
          </w:tcPr>
          <w:p w14:paraId="13D78601" w14:textId="77777777" w:rsidR="001B4A68" w:rsidRDefault="00AE7E2C">
            <w:pPr>
              <w:pStyle w:val="Compact"/>
            </w:pPr>
            <w:r>
              <w:t>0.15</w:t>
            </w:r>
          </w:p>
        </w:tc>
        <w:tc>
          <w:tcPr>
            <w:tcW w:w="0" w:type="auto"/>
          </w:tcPr>
          <w:p w14:paraId="4E3C97CC" w14:textId="77777777" w:rsidR="001B4A68" w:rsidRDefault="00AE7E2C">
            <w:pPr>
              <w:pStyle w:val="Compact"/>
            </w:pPr>
            <w:r>
              <w:t>14.00</w:t>
            </w:r>
          </w:p>
        </w:tc>
        <w:tc>
          <w:tcPr>
            <w:tcW w:w="0" w:type="auto"/>
          </w:tcPr>
          <w:p w14:paraId="0598593C" w14:textId="77777777" w:rsidR="001B4A68" w:rsidRDefault="00AE7E2C">
            <w:pPr>
              <w:pStyle w:val="Compact"/>
            </w:pPr>
            <w:r>
              <w:t>&lt;0.01</w:t>
            </w:r>
          </w:p>
        </w:tc>
      </w:tr>
    </w:tbl>
    <w:p w14:paraId="702F95FC" w14:textId="77777777" w:rsidR="001B4A68" w:rsidRDefault="00AE7E2C">
      <w:pPr>
        <w:pStyle w:val="BodyText"/>
      </w:pPr>
      <w:r>
        <w:t xml:space="preserve">The regression model indicated a significant positive relationship between students’ perceptions of curriculum relevance and their satisfaction with teaching methods </w:t>
      </w:r>
      <w:r>
        <w:t>(p &lt; 0.01). Both variables were found to be strong predictors of the overall satisfaction level.</w:t>
      </w:r>
    </w:p>
    <w:p w14:paraId="6C99E7D2" w14:textId="77777777" w:rsidR="001B4A68" w:rsidRDefault="00AE7E2C">
      <w:pPr>
        <w:pStyle w:val="BodyText"/>
      </w:pPr>
      <w:r>
        <w:rPr>
          <w:b/>
        </w:rPr>
        <w:t>Table 3: Factor Analysis Results</w:t>
      </w:r>
    </w:p>
    <w:tbl>
      <w:tblPr>
        <w:tblStyle w:val="Table"/>
        <w:tblW w:w="0" w:type="pct"/>
        <w:tblInd w:w="0" w:type="dxa"/>
        <w:tblLook w:val="04A0" w:firstRow="1" w:lastRow="0" w:firstColumn="1" w:lastColumn="0" w:noHBand="0" w:noVBand="1"/>
      </w:tblPr>
      <w:tblGrid>
        <w:gridCol w:w="2762"/>
        <w:gridCol w:w="1344"/>
        <w:gridCol w:w="2642"/>
        <w:gridCol w:w="2307"/>
      </w:tblGrid>
      <w:tr w:rsidR="001B4A68" w14:paraId="41FEC21F" w14:textId="77777777">
        <w:tc>
          <w:tcPr>
            <w:tcW w:w="0" w:type="auto"/>
            <w:tcBorders>
              <w:bottom w:val="single" w:sz="0" w:space="0" w:color="auto"/>
            </w:tcBorders>
            <w:vAlign w:val="bottom"/>
          </w:tcPr>
          <w:p w14:paraId="675F461E" w14:textId="77777777" w:rsidR="001B4A68" w:rsidRDefault="00AE7E2C">
            <w:pPr>
              <w:pStyle w:val="Compact"/>
            </w:pPr>
            <w:r>
              <w:t>Factor</w:t>
            </w:r>
          </w:p>
        </w:tc>
        <w:tc>
          <w:tcPr>
            <w:tcW w:w="0" w:type="auto"/>
            <w:tcBorders>
              <w:bottom w:val="single" w:sz="0" w:space="0" w:color="auto"/>
            </w:tcBorders>
            <w:vAlign w:val="bottom"/>
          </w:tcPr>
          <w:p w14:paraId="4D11DD37" w14:textId="77777777" w:rsidR="001B4A68" w:rsidRDefault="00AE7E2C">
            <w:pPr>
              <w:pStyle w:val="Compact"/>
            </w:pPr>
            <w:r>
              <w:t>Eigenvalue</w:t>
            </w:r>
          </w:p>
        </w:tc>
        <w:tc>
          <w:tcPr>
            <w:tcW w:w="0" w:type="auto"/>
            <w:tcBorders>
              <w:bottom w:val="single" w:sz="0" w:space="0" w:color="auto"/>
            </w:tcBorders>
            <w:vAlign w:val="bottom"/>
          </w:tcPr>
          <w:p w14:paraId="41606B89" w14:textId="77777777" w:rsidR="001B4A68" w:rsidRDefault="00AE7E2C">
            <w:pPr>
              <w:pStyle w:val="Compact"/>
            </w:pPr>
            <w:r>
              <w:t>Variance Explained (%)</w:t>
            </w:r>
          </w:p>
        </w:tc>
        <w:tc>
          <w:tcPr>
            <w:tcW w:w="0" w:type="auto"/>
            <w:tcBorders>
              <w:bottom w:val="single" w:sz="0" w:space="0" w:color="auto"/>
            </w:tcBorders>
            <w:vAlign w:val="bottom"/>
          </w:tcPr>
          <w:p w14:paraId="2B0A3778" w14:textId="77777777" w:rsidR="001B4A68" w:rsidRDefault="00AE7E2C">
            <w:pPr>
              <w:pStyle w:val="Compact"/>
            </w:pPr>
            <w:r>
              <w:t>Factor Loadings (%)</w:t>
            </w:r>
          </w:p>
        </w:tc>
      </w:tr>
      <w:tr w:rsidR="001B4A68" w14:paraId="6D7A84A2" w14:textId="77777777">
        <w:tc>
          <w:tcPr>
            <w:tcW w:w="0" w:type="auto"/>
          </w:tcPr>
          <w:p w14:paraId="6569FCB2" w14:textId="77777777" w:rsidR="001B4A68" w:rsidRDefault="00AE7E2C">
            <w:pPr>
              <w:pStyle w:val="Compact"/>
            </w:pPr>
            <w:r>
              <w:t>Cultural Authenticity</w:t>
            </w:r>
          </w:p>
        </w:tc>
        <w:tc>
          <w:tcPr>
            <w:tcW w:w="0" w:type="auto"/>
          </w:tcPr>
          <w:p w14:paraId="2E1025E9" w14:textId="77777777" w:rsidR="001B4A68" w:rsidRDefault="00AE7E2C">
            <w:pPr>
              <w:pStyle w:val="Compact"/>
            </w:pPr>
            <w:r>
              <w:t>2.30</w:t>
            </w:r>
          </w:p>
        </w:tc>
        <w:tc>
          <w:tcPr>
            <w:tcW w:w="0" w:type="auto"/>
          </w:tcPr>
          <w:p w14:paraId="3C8B2F0A" w14:textId="77777777" w:rsidR="001B4A68" w:rsidRDefault="00AE7E2C">
            <w:pPr>
              <w:pStyle w:val="Compact"/>
            </w:pPr>
            <w:r>
              <w:t>23.00</w:t>
            </w:r>
          </w:p>
        </w:tc>
        <w:tc>
          <w:tcPr>
            <w:tcW w:w="0" w:type="auto"/>
          </w:tcPr>
          <w:p w14:paraId="429872D7" w14:textId="77777777" w:rsidR="001B4A68" w:rsidRDefault="00AE7E2C">
            <w:pPr>
              <w:pStyle w:val="Compact"/>
            </w:pPr>
            <w:r>
              <w:t>0.75</w:t>
            </w:r>
          </w:p>
        </w:tc>
      </w:tr>
      <w:tr w:rsidR="001B4A68" w14:paraId="30315D99" w14:textId="77777777">
        <w:tc>
          <w:tcPr>
            <w:tcW w:w="0" w:type="auto"/>
          </w:tcPr>
          <w:p w14:paraId="103F3596" w14:textId="77777777" w:rsidR="001B4A68" w:rsidRDefault="00AE7E2C">
            <w:pPr>
              <w:pStyle w:val="Compact"/>
            </w:pPr>
            <w:r>
              <w:t xml:space="preserve">Pedagogical </w:t>
            </w:r>
            <w:r>
              <w:t>Innovation</w:t>
            </w:r>
          </w:p>
        </w:tc>
        <w:tc>
          <w:tcPr>
            <w:tcW w:w="0" w:type="auto"/>
          </w:tcPr>
          <w:p w14:paraId="63F78359" w14:textId="77777777" w:rsidR="001B4A68" w:rsidRDefault="00AE7E2C">
            <w:pPr>
              <w:pStyle w:val="Compact"/>
            </w:pPr>
            <w:r>
              <w:t>1.85</w:t>
            </w:r>
          </w:p>
        </w:tc>
        <w:tc>
          <w:tcPr>
            <w:tcW w:w="0" w:type="auto"/>
          </w:tcPr>
          <w:p w14:paraId="2976CE97" w14:textId="77777777" w:rsidR="001B4A68" w:rsidRDefault="00AE7E2C">
            <w:pPr>
              <w:pStyle w:val="Compact"/>
            </w:pPr>
            <w:r>
              <w:t>18.50</w:t>
            </w:r>
          </w:p>
        </w:tc>
        <w:tc>
          <w:tcPr>
            <w:tcW w:w="0" w:type="auto"/>
          </w:tcPr>
          <w:p w14:paraId="4DE047DA" w14:textId="77777777" w:rsidR="001B4A68" w:rsidRDefault="00AE7E2C">
            <w:pPr>
              <w:pStyle w:val="Compact"/>
            </w:pPr>
            <w:r>
              <w:t>0.68</w:t>
            </w:r>
          </w:p>
        </w:tc>
      </w:tr>
      <w:tr w:rsidR="001B4A68" w14:paraId="6DC4AB0D" w14:textId="77777777">
        <w:tc>
          <w:tcPr>
            <w:tcW w:w="0" w:type="auto"/>
          </w:tcPr>
          <w:p w14:paraId="70E08388" w14:textId="77777777" w:rsidR="001B4A68" w:rsidRDefault="00AE7E2C">
            <w:pPr>
              <w:pStyle w:val="Compact"/>
            </w:pPr>
            <w:r>
              <w:t>Student Engagement</w:t>
            </w:r>
          </w:p>
        </w:tc>
        <w:tc>
          <w:tcPr>
            <w:tcW w:w="0" w:type="auto"/>
          </w:tcPr>
          <w:p w14:paraId="7022E726" w14:textId="77777777" w:rsidR="001B4A68" w:rsidRDefault="00AE7E2C">
            <w:pPr>
              <w:pStyle w:val="Compact"/>
            </w:pPr>
            <w:r>
              <w:t>1.60</w:t>
            </w:r>
          </w:p>
        </w:tc>
        <w:tc>
          <w:tcPr>
            <w:tcW w:w="0" w:type="auto"/>
          </w:tcPr>
          <w:p w14:paraId="060A88A1" w14:textId="77777777" w:rsidR="001B4A68" w:rsidRDefault="00AE7E2C">
            <w:pPr>
              <w:pStyle w:val="Compact"/>
            </w:pPr>
            <w:r>
              <w:t>16.00</w:t>
            </w:r>
          </w:p>
        </w:tc>
        <w:tc>
          <w:tcPr>
            <w:tcW w:w="0" w:type="auto"/>
          </w:tcPr>
          <w:p w14:paraId="5D284AA6" w14:textId="77777777" w:rsidR="001B4A68" w:rsidRDefault="00AE7E2C">
            <w:pPr>
              <w:pStyle w:val="Compact"/>
            </w:pPr>
            <w:r>
              <w:t>0.64</w:t>
            </w:r>
          </w:p>
        </w:tc>
      </w:tr>
      <w:tr w:rsidR="001B4A68" w14:paraId="2FFC01D8" w14:textId="77777777">
        <w:tc>
          <w:tcPr>
            <w:tcW w:w="0" w:type="auto"/>
          </w:tcPr>
          <w:p w14:paraId="2CE30F61" w14:textId="77777777" w:rsidR="001B4A68" w:rsidRDefault="00AE7E2C">
            <w:pPr>
              <w:pStyle w:val="Compact"/>
            </w:pPr>
            <w:r>
              <w:t>Infrastructure Support</w:t>
            </w:r>
          </w:p>
        </w:tc>
        <w:tc>
          <w:tcPr>
            <w:tcW w:w="0" w:type="auto"/>
          </w:tcPr>
          <w:p w14:paraId="1DD1C73E" w14:textId="77777777" w:rsidR="001B4A68" w:rsidRDefault="00AE7E2C">
            <w:pPr>
              <w:pStyle w:val="Compact"/>
            </w:pPr>
            <w:r>
              <w:t>1.20</w:t>
            </w:r>
          </w:p>
        </w:tc>
        <w:tc>
          <w:tcPr>
            <w:tcW w:w="0" w:type="auto"/>
          </w:tcPr>
          <w:p w14:paraId="13D5688C" w14:textId="77777777" w:rsidR="001B4A68" w:rsidRDefault="00AE7E2C">
            <w:pPr>
              <w:pStyle w:val="Compact"/>
            </w:pPr>
            <w:r>
              <w:t>12.00</w:t>
            </w:r>
          </w:p>
        </w:tc>
        <w:tc>
          <w:tcPr>
            <w:tcW w:w="0" w:type="auto"/>
          </w:tcPr>
          <w:p w14:paraId="7D188039" w14:textId="77777777" w:rsidR="001B4A68" w:rsidRDefault="00AE7E2C">
            <w:pPr>
              <w:pStyle w:val="Compact"/>
            </w:pPr>
            <w:r>
              <w:t>0.58</w:t>
            </w:r>
          </w:p>
        </w:tc>
      </w:tr>
      <w:tr w:rsidR="001B4A68" w14:paraId="268C0D8E" w14:textId="77777777">
        <w:tc>
          <w:tcPr>
            <w:tcW w:w="0" w:type="auto"/>
          </w:tcPr>
          <w:p w14:paraId="71DF8E1D" w14:textId="77777777" w:rsidR="001B4A68" w:rsidRDefault="00AE7E2C">
            <w:pPr>
              <w:pStyle w:val="Compact"/>
            </w:pPr>
            <w:r>
              <w:t>Community Involvement</w:t>
            </w:r>
          </w:p>
        </w:tc>
        <w:tc>
          <w:tcPr>
            <w:tcW w:w="0" w:type="auto"/>
          </w:tcPr>
          <w:p w14:paraId="285BD5CA" w14:textId="77777777" w:rsidR="001B4A68" w:rsidRDefault="00AE7E2C">
            <w:pPr>
              <w:pStyle w:val="Compact"/>
            </w:pPr>
            <w:r>
              <w:t>0.95</w:t>
            </w:r>
          </w:p>
        </w:tc>
        <w:tc>
          <w:tcPr>
            <w:tcW w:w="0" w:type="auto"/>
          </w:tcPr>
          <w:p w14:paraId="6625658C" w14:textId="77777777" w:rsidR="001B4A68" w:rsidRDefault="00AE7E2C">
            <w:pPr>
              <w:pStyle w:val="Compact"/>
            </w:pPr>
            <w:r>
              <w:t>9.50</w:t>
            </w:r>
          </w:p>
        </w:tc>
        <w:tc>
          <w:tcPr>
            <w:tcW w:w="0" w:type="auto"/>
          </w:tcPr>
          <w:p w14:paraId="43B58A6B" w14:textId="77777777" w:rsidR="001B4A68" w:rsidRDefault="00AE7E2C">
            <w:pPr>
              <w:pStyle w:val="Compact"/>
            </w:pPr>
            <w:r>
              <w:t>0.52</w:t>
            </w:r>
          </w:p>
        </w:tc>
      </w:tr>
    </w:tbl>
    <w:p w14:paraId="65F0BC87" w14:textId="77777777" w:rsidR="001B4A68" w:rsidRDefault="00AE7E2C">
      <w:pPr>
        <w:pStyle w:val="BodyText"/>
      </w:pPr>
      <w:r>
        <w:lastRenderedPageBreak/>
        <w:t xml:space="preserve">The factor analysis identified five underlying factors that significantly influence students’ overall </w:t>
      </w:r>
      <w:r>
        <w:t xml:space="preserve">experience with ethnic </w:t>
      </w:r>
      <w:proofErr w:type="gramStart"/>
      <w:r>
        <w:t>folk dance</w:t>
      </w:r>
      <w:proofErr w:type="gramEnd"/>
      <w:r>
        <w:t xml:space="preserve"> education. The factors, in order of importance, are cultural authenticity, pedagogical innovation, student engagement, infrastructure support, and community involvement.</w:t>
      </w:r>
    </w:p>
    <w:p w14:paraId="5F7D6CDE" w14:textId="77777777" w:rsidR="001B4A68" w:rsidRDefault="00AE7E2C">
      <w:pPr>
        <w:pStyle w:val="Heading4"/>
        <w:rPr>
          <w:color w:val="auto"/>
        </w:rPr>
      </w:pPr>
      <w:bookmarkStart w:id="14" w:name="qualitative-analysis-findings"/>
      <w:r>
        <w:rPr>
          <w:color w:val="auto"/>
        </w:rPr>
        <w:t>4.2 Qualitative Analysis Findings</w:t>
      </w:r>
      <w:bookmarkEnd w:id="14"/>
    </w:p>
    <w:p w14:paraId="69C67B14" w14:textId="77777777" w:rsidR="001B4A68" w:rsidRDefault="00AE7E2C">
      <w:pPr>
        <w:pStyle w:val="FirstParagraph"/>
      </w:pPr>
      <w:r>
        <w:t>The qualitative an</w:t>
      </w:r>
      <w:r>
        <w:t xml:space="preserve">alysis of interview transcripts and observational data revealed several recurring themes that provide deeper insights into the current state and potential areas for improvement in ethnic </w:t>
      </w:r>
      <w:proofErr w:type="gramStart"/>
      <w:r>
        <w:t>folk dance</w:t>
      </w:r>
      <w:proofErr w:type="gramEnd"/>
      <w:r>
        <w:t xml:space="preserve"> education.</w:t>
      </w:r>
    </w:p>
    <w:p w14:paraId="7E6CA6D2" w14:textId="77777777" w:rsidR="001B4A68" w:rsidRDefault="00AE7E2C">
      <w:pPr>
        <w:pStyle w:val="Compact"/>
        <w:numPr>
          <w:ilvl w:val="0"/>
          <w:numId w:val="1"/>
        </w:numPr>
      </w:pPr>
      <w:r>
        <w:rPr>
          <w:b/>
        </w:rPr>
        <w:t>Cultural Authenticity</w:t>
      </w:r>
      <w:r>
        <w:t xml:space="preserve">: Participants emphasized </w:t>
      </w:r>
      <w:r>
        <w:t>the importance of maintaining the authenticity of ethnic dance forms to preserve cultural heritage.</w:t>
      </w:r>
    </w:p>
    <w:p w14:paraId="2948D075" w14:textId="77777777" w:rsidR="001B4A68" w:rsidRDefault="00AE7E2C">
      <w:pPr>
        <w:pStyle w:val="Compact"/>
        <w:numPr>
          <w:ilvl w:val="0"/>
          <w:numId w:val="1"/>
        </w:numPr>
      </w:pPr>
      <w:r>
        <w:rPr>
          <w:b/>
        </w:rPr>
        <w:t>Pedagogical Innovation</w:t>
      </w:r>
      <w:r>
        <w:t>: There was a consensus on the need for innovative teaching methods that blend traditional practices with modern educational technique</w:t>
      </w:r>
      <w:r>
        <w:t>s.</w:t>
      </w:r>
    </w:p>
    <w:p w14:paraId="6971F03E" w14:textId="77777777" w:rsidR="001B4A68" w:rsidRDefault="00AE7E2C">
      <w:pPr>
        <w:pStyle w:val="Compact"/>
        <w:numPr>
          <w:ilvl w:val="0"/>
          <w:numId w:val="1"/>
        </w:numPr>
      </w:pPr>
      <w:r>
        <w:rPr>
          <w:b/>
        </w:rPr>
        <w:t>Student Engagement</w:t>
      </w:r>
      <w:r>
        <w:t>: Enhancing student engagement through interactive and participatory learning experiences was identified as a key area for improvement.</w:t>
      </w:r>
    </w:p>
    <w:p w14:paraId="531A6F43" w14:textId="77777777" w:rsidR="001B4A68" w:rsidRDefault="00AE7E2C">
      <w:pPr>
        <w:pStyle w:val="Compact"/>
        <w:numPr>
          <w:ilvl w:val="0"/>
          <w:numId w:val="1"/>
        </w:numPr>
      </w:pPr>
      <w:r>
        <w:rPr>
          <w:b/>
        </w:rPr>
        <w:t>Infrastructure Support</w:t>
      </w:r>
      <w:r>
        <w:t>: Adequate infrastructure, including rehearsal spaces and performance venues,</w:t>
      </w:r>
      <w:r>
        <w:t xml:space="preserve"> was highlighted as crucial for effective dance education.</w:t>
      </w:r>
    </w:p>
    <w:p w14:paraId="382B3708" w14:textId="77777777" w:rsidR="001B4A68" w:rsidRDefault="00AE7E2C">
      <w:pPr>
        <w:pStyle w:val="Compact"/>
        <w:numPr>
          <w:ilvl w:val="0"/>
          <w:numId w:val="1"/>
        </w:numPr>
      </w:pPr>
      <w:r>
        <w:rPr>
          <w:b/>
        </w:rPr>
        <w:t>Community Involvement</w:t>
      </w:r>
      <w:r>
        <w:t>: Strengthening ties with local communities and involving them in educational programs was seen as essential for cultural sustainability.</w:t>
      </w:r>
    </w:p>
    <w:p w14:paraId="6CEAF1A4" w14:textId="77777777" w:rsidR="001B4A68" w:rsidRDefault="00AE7E2C">
      <w:pPr>
        <w:pStyle w:val="FirstParagraph"/>
      </w:pPr>
      <w:r>
        <w:t xml:space="preserve">The integration of </w:t>
      </w:r>
      <w:r>
        <w:t xml:space="preserve">quantitative and qualitative findings through a triangulation approach validated the results and provided a comprehensive understanding of the factors influencing ethnic </w:t>
      </w:r>
      <w:proofErr w:type="gramStart"/>
      <w:r>
        <w:t>folk dance</w:t>
      </w:r>
      <w:proofErr w:type="gramEnd"/>
      <w:r>
        <w:t xml:space="preserve"> education in higher education institutions. The triangulation matrix (</w:t>
      </w:r>
      <m:oMath>
        <m:r>
          <w:rPr>
            <w:rFonts w:ascii="Cambria Math" w:hAnsi="Cambria Math"/>
          </w:rPr>
          <m:t>M</m:t>
        </m:r>
      </m:oMath>
      <w:r>
        <w:t>) i</w:t>
      </w:r>
      <w:proofErr w:type="spellStart"/>
      <w:r>
        <w:t>llustrated</w:t>
      </w:r>
      <w:proofErr w:type="spellEnd"/>
      <w:r>
        <w:t xml:space="preserve"> a strong alignment between the quantitative data and qualitative themes, reinforcing the study’s findings.</w:t>
      </w:r>
    </w:p>
    <w:p w14:paraId="0C450237" w14:textId="77777777" w:rsidR="001B4A68" w:rsidRDefault="00AE7E2C">
      <w:pPr>
        <w:pStyle w:val="Heading3"/>
        <w:rPr>
          <w:color w:val="auto"/>
        </w:rPr>
      </w:pPr>
      <w:bookmarkStart w:id="15" w:name="discussion"/>
      <w:r>
        <w:rPr>
          <w:color w:val="auto"/>
        </w:rPr>
        <w:t>5 Discussion</w:t>
      </w:r>
      <w:bookmarkEnd w:id="15"/>
    </w:p>
    <w:p w14:paraId="4E729F2B" w14:textId="77777777" w:rsidR="001B4A68" w:rsidRDefault="00AE7E2C">
      <w:pPr>
        <w:pStyle w:val="Heading4"/>
        <w:rPr>
          <w:color w:val="auto"/>
        </w:rPr>
      </w:pPr>
      <w:bookmarkStart w:id="16" w:name="significance-of-the-findings"/>
      <w:r>
        <w:rPr>
          <w:color w:val="auto"/>
        </w:rPr>
        <w:t>5.1 Significance of the Findings</w:t>
      </w:r>
      <w:bookmarkEnd w:id="16"/>
    </w:p>
    <w:p w14:paraId="1E510E63" w14:textId="77777777" w:rsidR="001B4A68" w:rsidRDefault="00AE7E2C">
      <w:pPr>
        <w:pStyle w:val="FirstParagraph"/>
      </w:pPr>
      <w:r>
        <w:t xml:space="preserve">The findings of this study bear substantial significance for comprehending and </w:t>
      </w:r>
      <w:r>
        <w:t xml:space="preserve">advancing ethnic </w:t>
      </w:r>
      <w:proofErr w:type="gramStart"/>
      <w:r>
        <w:t>folk dance</w:t>
      </w:r>
      <w:proofErr w:type="gramEnd"/>
      <w:r>
        <w:t xml:space="preserve"> education within higher education institutions. Quantitative analysis demonstrated that students’ perceptions of curriculum relevance and their satisfaction with teaching methods are robust predictors of their overall educationa</w:t>
      </w:r>
      <w:r>
        <w:t>l experience. This highlights the pivotal role of curriculum design and pedagogical strategies in fostering student engagement and satisfaction. While mean scores and standard deviations indicate generally positive perceptions and satisfaction, the observe</w:t>
      </w:r>
      <w:r>
        <w:t>d variability suggests opportunities for aligning curricula more closely with student expectations and employing a broader spectrum of teaching methods.</w:t>
      </w:r>
    </w:p>
    <w:p w14:paraId="26A1B6AC" w14:textId="77777777" w:rsidR="001B4A68" w:rsidRDefault="00AE7E2C">
      <w:pPr>
        <w:pStyle w:val="BodyText"/>
      </w:pPr>
      <w:r>
        <w:t>Regression analysis revealed a significant positive correlation between curriculum relevance and teachi</w:t>
      </w:r>
      <w:r>
        <w:t>ng methods, underscoring the necessity of a holistic approach to educational reform. This implies that enhancing the cultural relevance of the curriculum and innovating teaching practices can substantially elevate student satisfaction and overall education</w:t>
      </w:r>
      <w:r>
        <w:t>al outcomes.</w:t>
      </w:r>
    </w:p>
    <w:p w14:paraId="24E99BA2" w14:textId="77777777" w:rsidR="001B4A68" w:rsidRDefault="00AE7E2C">
      <w:pPr>
        <w:pStyle w:val="BodyText"/>
      </w:pPr>
      <w:r>
        <w:lastRenderedPageBreak/>
        <w:t>Factor analysis identified pivotal underlying factors, including cultural authenticity, pedagogical innovation, student engagement, infrastructure support, and community involvement. These factors collectively provide a comprehensive framework</w:t>
      </w:r>
      <w:r>
        <w:t xml:space="preserve"> for understanding the multifaceted dimensions of ethnic </w:t>
      </w:r>
      <w:proofErr w:type="gramStart"/>
      <w:r>
        <w:t>folk dance</w:t>
      </w:r>
      <w:proofErr w:type="gramEnd"/>
      <w:r>
        <w:t xml:space="preserve"> education. The prominence of cultural authenticity underscores the critical importance of preserving the integrity of ethnic dance forms, which is essential for the preservation of cultura</w:t>
      </w:r>
      <w:r>
        <w:t>l heritage.</w:t>
      </w:r>
    </w:p>
    <w:p w14:paraId="310463B4" w14:textId="77777777" w:rsidR="001B4A68" w:rsidRDefault="00AE7E2C">
      <w:pPr>
        <w:pStyle w:val="Heading4"/>
        <w:rPr>
          <w:color w:val="auto"/>
        </w:rPr>
      </w:pPr>
      <w:bookmarkStart w:id="17" w:name="innovations-in-the-study"/>
      <w:r>
        <w:rPr>
          <w:color w:val="auto"/>
        </w:rPr>
        <w:t>5.2 Innovations in the Study</w:t>
      </w:r>
      <w:bookmarkEnd w:id="17"/>
    </w:p>
    <w:p w14:paraId="1071BFAB" w14:textId="77777777" w:rsidR="001B4A68" w:rsidRDefault="00AE7E2C">
      <w:pPr>
        <w:pStyle w:val="FirstParagraph"/>
      </w:pPr>
      <w:r>
        <w:t xml:space="preserve">A notable innovation of this study is its mixed-method approach, which amalgamates quantitative and qualitative data to offer a more nuanced understanding of ethnic </w:t>
      </w:r>
      <w:proofErr w:type="gramStart"/>
      <w:r>
        <w:t>folk dance</w:t>
      </w:r>
      <w:proofErr w:type="gramEnd"/>
      <w:r>
        <w:t xml:space="preserve"> education. This methodological triangul</w:t>
      </w:r>
      <w:r>
        <w:t>ation not only validates the findings but also enriches the perspective, providing a more holistic view. The application of a triangulation matrix to align quantitative findings with qualitative themes represents a novel technique that enhances the robustn</w:t>
      </w:r>
      <w:r>
        <w:t>ess of the analysis.</w:t>
      </w:r>
    </w:p>
    <w:p w14:paraId="76D2BD56" w14:textId="77777777" w:rsidR="001B4A68" w:rsidRDefault="00AE7E2C">
      <w:pPr>
        <w:pStyle w:val="BodyText"/>
      </w:pPr>
      <w:r>
        <w:t>Additionally, the study’s comprehensive focus on student, instructor, and administrative perspectives offers an inclusive view of the educational ecosystem. This multi-stakeholder approach, relatively rare in ethnic dance education res</w:t>
      </w:r>
      <w:r>
        <w:t>earch, ensures a balanced and inclusive perspective.</w:t>
      </w:r>
    </w:p>
    <w:p w14:paraId="0DB6919E" w14:textId="77777777" w:rsidR="001B4A68" w:rsidRDefault="00AE7E2C">
      <w:pPr>
        <w:pStyle w:val="BodyText"/>
      </w:pPr>
      <w:r>
        <w:t>The identification of specific factors such as pedagogical innovation and community involvement also constitutes a significant contribution. These factors are frequently overlooked in traditional educati</w:t>
      </w:r>
      <w:r>
        <w:t xml:space="preserve">onal research but are vital for the sustainable development of ethnic </w:t>
      </w:r>
      <w:proofErr w:type="gramStart"/>
      <w:r>
        <w:t>folk dance</w:t>
      </w:r>
      <w:proofErr w:type="gramEnd"/>
      <w:r>
        <w:t xml:space="preserve"> education.</w:t>
      </w:r>
    </w:p>
    <w:p w14:paraId="2FFD1A2A" w14:textId="77777777" w:rsidR="001B4A68" w:rsidRDefault="00AE7E2C">
      <w:pPr>
        <w:pStyle w:val="Heading4"/>
        <w:rPr>
          <w:color w:val="auto"/>
        </w:rPr>
      </w:pPr>
      <w:bookmarkStart w:id="18" w:name="limitations-of-the-study"/>
      <w:r>
        <w:rPr>
          <w:color w:val="auto"/>
        </w:rPr>
        <w:t>5.3 Limitations of the Study</w:t>
      </w:r>
      <w:bookmarkEnd w:id="18"/>
    </w:p>
    <w:p w14:paraId="1BE186D7" w14:textId="77777777" w:rsidR="001B4A68" w:rsidRDefault="00AE7E2C">
      <w:pPr>
        <w:pStyle w:val="FirstParagraph"/>
      </w:pPr>
      <w:r>
        <w:t>Despite its strengths, the study is subject to several limitations that necessitate consideration. Firstly, the sample size, though div</w:t>
      </w:r>
      <w:r>
        <w:t xml:space="preserve">erse, may not fully represent all higher education institutions offering ethnic </w:t>
      </w:r>
      <w:proofErr w:type="gramStart"/>
      <w:r>
        <w:t>folk dance</w:t>
      </w:r>
      <w:proofErr w:type="gramEnd"/>
      <w:r>
        <w:t xml:space="preserve"> programs, potentially limiting the generalizability of the findings. Future research should aim to expand the sample size and include a broader array of institutions</w:t>
      </w:r>
      <w:r>
        <w:t xml:space="preserve"> to enhance representativeness.</w:t>
      </w:r>
    </w:p>
    <w:p w14:paraId="35FEA7D2" w14:textId="77777777" w:rsidR="001B4A68" w:rsidRDefault="00AE7E2C">
      <w:pPr>
        <w:pStyle w:val="BodyText"/>
      </w:pPr>
      <w:r>
        <w:t xml:space="preserve">Secondly, reliance on self-reported data from surveys and interviews may introduce biases, as participants’ responses could be influenced by personal experiences and perceptions, which may not accurately reflect the broader </w:t>
      </w:r>
      <w:r>
        <w:t>reality. Incorporating additional objective measures, such as observational data from classroom interactions, could help mitigate this limitation.</w:t>
      </w:r>
    </w:p>
    <w:p w14:paraId="0578E23C" w14:textId="77777777" w:rsidR="001B4A68" w:rsidRDefault="00AE7E2C">
      <w:pPr>
        <w:pStyle w:val="BodyText"/>
      </w:pPr>
      <w:r>
        <w:t>Thirdly, the study’s focus on specific ethnic dance forms may restrict the applicability of the findings to o</w:t>
      </w:r>
      <w:r>
        <w:t xml:space="preserve">ther ethnic dance traditions. Each ethnic dance form is embedded in a unique cultural context with distinct educational needs, and the identified factors may not be universally applicable. Future research should explore a wider range of ethnic dance forms </w:t>
      </w:r>
      <w:r>
        <w:t>to validate the findings across diverse cultural contexts.</w:t>
      </w:r>
    </w:p>
    <w:p w14:paraId="098BBB17" w14:textId="77777777" w:rsidR="001B4A68" w:rsidRDefault="00AE7E2C">
      <w:pPr>
        <w:pStyle w:val="BodyText"/>
      </w:pPr>
      <w:r>
        <w:t xml:space="preserve">Lastly, the cross-sectional design of the study provides a snapshot of the current state of ethnic </w:t>
      </w:r>
      <w:proofErr w:type="gramStart"/>
      <w:r>
        <w:t>folk dance</w:t>
      </w:r>
      <w:proofErr w:type="gramEnd"/>
      <w:r>
        <w:t xml:space="preserve"> education but does not capture longitudinal changes. Longitudinal studies </w:t>
      </w:r>
      <w:r>
        <w:lastRenderedPageBreak/>
        <w:t>are needed to</w:t>
      </w:r>
      <w:r>
        <w:t xml:space="preserve"> understand the evolution of these programs over time and the long-term impacts of educational reforms.</w:t>
      </w:r>
    </w:p>
    <w:p w14:paraId="50952A09" w14:textId="77777777" w:rsidR="001B4A68" w:rsidRDefault="00AE7E2C">
      <w:pPr>
        <w:pStyle w:val="BodyText"/>
      </w:pPr>
      <w:r>
        <w:t>In conclusion, while this study offers valuable insights and innovative approaches, it is imperative to acknowledge these limitations in interpreting an</w:t>
      </w:r>
      <w:r>
        <w:t xml:space="preserve">d applying the findings. Future research should strive to address these limitations to deepen our understanding of ethnic </w:t>
      </w:r>
      <w:proofErr w:type="gramStart"/>
      <w:r>
        <w:t>folk dance</w:t>
      </w:r>
      <w:proofErr w:type="gramEnd"/>
      <w:r>
        <w:t xml:space="preserve"> education in higher education institutions.</w:t>
      </w:r>
    </w:p>
    <w:p w14:paraId="057A7C75" w14:textId="77777777" w:rsidR="001B4A68" w:rsidRDefault="00AE7E2C">
      <w:pPr>
        <w:pStyle w:val="Heading3"/>
        <w:rPr>
          <w:color w:val="auto"/>
        </w:rPr>
      </w:pPr>
      <w:bookmarkStart w:id="19" w:name="conclusion"/>
      <w:r>
        <w:rPr>
          <w:color w:val="auto"/>
        </w:rPr>
        <w:t>6 Conclusion</w:t>
      </w:r>
      <w:bookmarkEnd w:id="19"/>
    </w:p>
    <w:p w14:paraId="4705382B" w14:textId="77777777" w:rsidR="001B4A68" w:rsidRDefault="00AE7E2C">
      <w:pPr>
        <w:pStyle w:val="Heading4"/>
        <w:rPr>
          <w:color w:val="auto"/>
        </w:rPr>
      </w:pPr>
      <w:bookmarkStart w:id="20" w:name="summary"/>
      <w:r>
        <w:rPr>
          <w:color w:val="auto"/>
        </w:rPr>
        <w:t>6.1 Summary</w:t>
      </w:r>
      <w:bookmarkEnd w:id="20"/>
    </w:p>
    <w:p w14:paraId="2E48B525" w14:textId="77777777" w:rsidR="001B4A68" w:rsidRDefault="00AE7E2C">
      <w:pPr>
        <w:pStyle w:val="FirstParagraph"/>
      </w:pPr>
      <w:r>
        <w:t xml:space="preserve">This study examines the reform of ethnic </w:t>
      </w:r>
      <w:proofErr w:type="gramStart"/>
      <w:r>
        <w:t>folk dance</w:t>
      </w:r>
      <w:proofErr w:type="gramEnd"/>
      <w:r>
        <w:t xml:space="preserve"> ed</w:t>
      </w:r>
      <w:r>
        <w:t>ucation within higher education institutions, focusing on the preservation and transmission of traditional cultural heritage. Employing a mixed-method approach, the research synthesizes quantitative data from surveys and questionnaires with qualitative ins</w:t>
      </w:r>
      <w:r>
        <w:t>ights derived from interviews and observational data, thereby offering a comprehensive analysis.</w:t>
      </w:r>
    </w:p>
    <w:p w14:paraId="365A1905" w14:textId="77777777" w:rsidR="001B4A68" w:rsidRDefault="00AE7E2C">
      <w:pPr>
        <w:pStyle w:val="Heading4"/>
        <w:rPr>
          <w:color w:val="auto"/>
        </w:rPr>
      </w:pPr>
      <w:bookmarkStart w:id="21" w:name="key-findings"/>
      <w:r>
        <w:rPr>
          <w:color w:val="auto"/>
        </w:rPr>
        <w:t>6.2 Key Findings</w:t>
      </w:r>
      <w:bookmarkEnd w:id="21"/>
    </w:p>
    <w:p w14:paraId="397EA0B8" w14:textId="77777777" w:rsidR="001B4A68" w:rsidRDefault="00AE7E2C">
      <w:pPr>
        <w:pStyle w:val="FirstParagraph"/>
      </w:pPr>
      <w:r>
        <w:t>Quantitative analysis indicated that students’ perceptions of curriculum relevance and their satisfaction with teaching methods are significan</w:t>
      </w:r>
      <w:r>
        <w:t xml:space="preserve">t predictors of their overall satisfaction with ethnic </w:t>
      </w:r>
      <w:proofErr w:type="gramStart"/>
      <w:r>
        <w:t>folk dance</w:t>
      </w:r>
      <w:proofErr w:type="gramEnd"/>
      <w:r>
        <w:t xml:space="preserve"> programs. Descriptive statistics revealed moderate to high levels of satisfaction with teaching methods (mean score: 4.10) and curriculum relevance (mean score: 3.45). Regression analysis co</w:t>
      </w:r>
      <w:r>
        <w:t>nfirmed a positive correlation between these variables and overall satisfaction (p &lt; 0.01). Factor analysis identified five pivotal factors influencing the student experience: cultural authenticity, pedagogical innovation, student engagement, infrastructur</w:t>
      </w:r>
      <w:r>
        <w:t>e support, and community involvement.</w:t>
      </w:r>
    </w:p>
    <w:p w14:paraId="49E88CC2" w14:textId="77777777" w:rsidR="001B4A68" w:rsidRDefault="00AE7E2C">
      <w:pPr>
        <w:pStyle w:val="BodyText"/>
      </w:pPr>
      <w:r>
        <w:t>Qualitative findings corroborated these themes, emphasizing the necessity of maintaining cultural authenticity, innovating teaching methods, enhancing student engagement, ensuring robust infrastructure, and fostering c</w:t>
      </w:r>
      <w:r>
        <w:t xml:space="preserve">ommunity involvement. The triangulation of quantitative and qualitative data reinforced these conclusions, underscoring the multifaceted nature of effective ethnic </w:t>
      </w:r>
      <w:proofErr w:type="gramStart"/>
      <w:r>
        <w:t>folk dance</w:t>
      </w:r>
      <w:proofErr w:type="gramEnd"/>
      <w:r>
        <w:t xml:space="preserve"> education.</w:t>
      </w:r>
    </w:p>
    <w:p w14:paraId="796CC71D" w14:textId="77777777" w:rsidR="001B4A68" w:rsidRDefault="00AE7E2C">
      <w:pPr>
        <w:pStyle w:val="Heading4"/>
        <w:rPr>
          <w:color w:val="auto"/>
        </w:rPr>
      </w:pPr>
      <w:bookmarkStart w:id="22" w:name="contributions-to-the-field"/>
      <w:r>
        <w:rPr>
          <w:color w:val="auto"/>
        </w:rPr>
        <w:t>6.3 Contributions to the Field</w:t>
      </w:r>
      <w:bookmarkEnd w:id="22"/>
    </w:p>
    <w:p w14:paraId="5D1F9F2A" w14:textId="77777777" w:rsidR="001B4A68" w:rsidRDefault="00AE7E2C">
      <w:pPr>
        <w:pStyle w:val="FirstParagraph"/>
      </w:pPr>
      <w:r>
        <w:t>This research makes substantial contrib</w:t>
      </w:r>
      <w:r>
        <w:t>utions to the domains of cultural heritage education and dance pedagogy. It provides empirical evidence advocating for the integration of traditional cultural elements into contemporary educational frameworks, thereby enhancing the relevance and efficacy o</w:t>
      </w:r>
      <w:r>
        <w:t xml:space="preserve">f ethnic </w:t>
      </w:r>
      <w:proofErr w:type="gramStart"/>
      <w:r>
        <w:t>folk dance</w:t>
      </w:r>
      <w:proofErr w:type="gramEnd"/>
      <w:r>
        <w:t xml:space="preserve"> programs. Additionally, the study offers a comprehensive framework for understanding the interplay between various factors that influence the success of such programs, which can guide future research and policy formulation.</w:t>
      </w:r>
    </w:p>
    <w:p w14:paraId="212A035F" w14:textId="77777777" w:rsidR="001B4A68" w:rsidRDefault="00AE7E2C">
      <w:pPr>
        <w:pStyle w:val="Heading4"/>
        <w:rPr>
          <w:color w:val="auto"/>
        </w:rPr>
      </w:pPr>
      <w:bookmarkStart w:id="23" w:name="X59ca5fa4c6dd14f6ae87aabb7569dde88432204"/>
      <w:r>
        <w:rPr>
          <w:color w:val="auto"/>
        </w:rPr>
        <w:t>6.4 Practica</w:t>
      </w:r>
      <w:r>
        <w:rPr>
          <w:color w:val="auto"/>
        </w:rPr>
        <w:t>l Applications and Recommendations</w:t>
      </w:r>
      <w:bookmarkEnd w:id="23"/>
    </w:p>
    <w:p w14:paraId="63D029AD" w14:textId="77777777" w:rsidR="001B4A68" w:rsidRDefault="00AE7E2C">
      <w:pPr>
        <w:pStyle w:val="FirstParagraph"/>
      </w:pPr>
      <w:r>
        <w:t xml:space="preserve">The findings of this study have several practical implications for the reform of ethnic </w:t>
      </w:r>
      <w:proofErr w:type="gramStart"/>
      <w:r>
        <w:t>folk dance</w:t>
      </w:r>
      <w:proofErr w:type="gramEnd"/>
      <w:r>
        <w:t xml:space="preserve"> education in higher education institutions:</w:t>
      </w:r>
    </w:p>
    <w:p w14:paraId="43DBCDB4" w14:textId="77777777" w:rsidR="001B4A68" w:rsidRDefault="00AE7E2C">
      <w:pPr>
        <w:pStyle w:val="Compact"/>
        <w:numPr>
          <w:ilvl w:val="0"/>
          <w:numId w:val="4"/>
        </w:numPr>
      </w:pPr>
      <w:r>
        <w:rPr>
          <w:b/>
        </w:rPr>
        <w:lastRenderedPageBreak/>
        <w:t>Curriculum Enhancement</w:t>
      </w:r>
      <w:r>
        <w:t>: Institutions should prioritize the integration of cult</w:t>
      </w:r>
      <w:r>
        <w:t>urally authentic content into their dance curricula to ensure the preservation of traditional forms.</w:t>
      </w:r>
    </w:p>
    <w:p w14:paraId="626F55E5" w14:textId="77777777" w:rsidR="001B4A68" w:rsidRDefault="00AE7E2C">
      <w:pPr>
        <w:pStyle w:val="Compact"/>
        <w:numPr>
          <w:ilvl w:val="0"/>
          <w:numId w:val="4"/>
        </w:numPr>
      </w:pPr>
      <w:r>
        <w:rPr>
          <w:b/>
        </w:rPr>
        <w:t>Pedagogical Innovation</w:t>
      </w:r>
      <w:r>
        <w:t>: Educators should adopt innovative teaching methods that blend traditional practices with modern educational techniques to improve l</w:t>
      </w:r>
      <w:r>
        <w:t>earning outcomes.</w:t>
      </w:r>
    </w:p>
    <w:p w14:paraId="643F146C" w14:textId="77777777" w:rsidR="001B4A68" w:rsidRDefault="00AE7E2C">
      <w:pPr>
        <w:pStyle w:val="Compact"/>
        <w:numPr>
          <w:ilvl w:val="0"/>
          <w:numId w:val="4"/>
        </w:numPr>
      </w:pPr>
      <w:r>
        <w:rPr>
          <w:b/>
        </w:rPr>
        <w:t>Student Engagement</w:t>
      </w:r>
      <w:r>
        <w:t>: Interactive and participatory learning experiences should be incorporated to boost student engagement and motivation.</w:t>
      </w:r>
    </w:p>
    <w:p w14:paraId="62FF5217" w14:textId="77777777" w:rsidR="001B4A68" w:rsidRDefault="00AE7E2C">
      <w:pPr>
        <w:pStyle w:val="Compact"/>
        <w:numPr>
          <w:ilvl w:val="0"/>
          <w:numId w:val="4"/>
        </w:numPr>
      </w:pPr>
      <w:r>
        <w:rPr>
          <w:b/>
        </w:rPr>
        <w:t>Infrastructure Development</w:t>
      </w:r>
      <w:r>
        <w:t xml:space="preserve">: Adequate facilities, including rehearsal spaces and performance venues, </w:t>
      </w:r>
      <w:r>
        <w:t>are crucial for effective dance education and should be prioritized.</w:t>
      </w:r>
    </w:p>
    <w:p w14:paraId="77FD3AE8" w14:textId="77777777" w:rsidR="001B4A68" w:rsidRDefault="00AE7E2C">
      <w:pPr>
        <w:pStyle w:val="Compact"/>
        <w:numPr>
          <w:ilvl w:val="0"/>
          <w:numId w:val="4"/>
        </w:numPr>
      </w:pPr>
      <w:r>
        <w:rPr>
          <w:b/>
        </w:rPr>
        <w:t>Community Collaboration</w:t>
      </w:r>
      <w:r>
        <w:t>: Strengthening connections with local communities and involving them in educational programs can promote cultural sustainability and provide students with practica</w:t>
      </w:r>
      <w:r>
        <w:t>l learning contexts.</w:t>
      </w:r>
    </w:p>
    <w:p w14:paraId="48C9CE77" w14:textId="77777777" w:rsidR="001B4A68" w:rsidRDefault="00AE7E2C">
      <w:pPr>
        <w:pStyle w:val="FirstParagraph"/>
      </w:pPr>
      <w:r>
        <w:t xml:space="preserve">In conclusion, this study highlights the importance of a holistic approach to ethnic </w:t>
      </w:r>
      <w:proofErr w:type="gramStart"/>
      <w:r>
        <w:t>folk dance</w:t>
      </w:r>
      <w:proofErr w:type="gramEnd"/>
      <w:r>
        <w:t xml:space="preserve"> education that balances cultural preservation with pedagogical innovation. By addressing the identified factors, higher education </w:t>
      </w:r>
      <w:r>
        <w:t xml:space="preserve">institutions can significantly enhance the quality and impact of their ethnic </w:t>
      </w:r>
      <w:proofErr w:type="gramStart"/>
      <w:r>
        <w:t>folk dance</w:t>
      </w:r>
      <w:proofErr w:type="gramEnd"/>
      <w:r>
        <w:t xml:space="preserve"> programs, thereby contributing to the broader objective of preserving and transmitting cultural heritage. The recommendations provided offer a practical roadmap for im</w:t>
      </w:r>
      <w:r>
        <w:t>plementation, ensuring that the insights from this research lead to tangible improvements in the field.</w:t>
      </w:r>
    </w:p>
    <w:p w14:paraId="01029290" w14:textId="77777777" w:rsidR="001B4A68" w:rsidRDefault="00AE7E2C">
      <w:pPr>
        <w:pStyle w:val="Heading3"/>
        <w:rPr>
          <w:color w:val="auto"/>
        </w:rPr>
      </w:pPr>
      <w:bookmarkStart w:id="24" w:name="references"/>
      <w:r>
        <w:rPr>
          <w:color w:val="auto"/>
        </w:rPr>
        <w:t>References</w:t>
      </w:r>
      <w:bookmarkEnd w:id="24"/>
    </w:p>
    <w:p w14:paraId="5ABD3DEE" w14:textId="77777777" w:rsidR="001B4A68" w:rsidRDefault="00AE7E2C">
      <w:pPr>
        <w:pStyle w:val="FirstParagraph"/>
      </w:pPr>
      <w:r>
        <w:t xml:space="preserve">[1] K. </w:t>
      </w:r>
      <w:proofErr w:type="spellStart"/>
      <w:r>
        <w:t>Perera</w:t>
      </w:r>
      <w:proofErr w:type="spellEnd"/>
      <w:r>
        <w:t xml:space="preserve"> (2023). HERITAGE AT RISK: DIGITAL PRESERVATION OF TRADITIONAL CULTURAL HERITAGE (TCH) IN SRI LANKA. </w:t>
      </w:r>
      <w:r>
        <w:rPr>
          <w:i/>
        </w:rPr>
        <w:t xml:space="preserve">The International Archives </w:t>
      </w:r>
      <w:r>
        <w:rPr>
          <w:i/>
        </w:rPr>
        <w:t>of the Photogrammetry, Remote Sensing and Spatial Information Sciences</w:t>
      </w:r>
      <w:r>
        <w:t>. https://doi.org/10.5194/isprs-archives-xlviii-m-2-2023-1197-2023</w:t>
      </w:r>
    </w:p>
    <w:p w14:paraId="28FDC654" w14:textId="77777777" w:rsidR="001B4A68" w:rsidRDefault="00AE7E2C">
      <w:pPr>
        <w:pStyle w:val="BodyText"/>
      </w:pPr>
      <w:r>
        <w:t xml:space="preserve">[2] Jae-Ho Lee et al. (2022). Studies on Intelligent Curation for the Korean Traditional Cultural Heritage. </w:t>
      </w:r>
      <w:r>
        <w:rPr>
          <w:i/>
        </w:rPr>
        <w:t>2022 Intern</w:t>
      </w:r>
      <w:r>
        <w:rPr>
          <w:i/>
        </w:rPr>
        <w:t>ational Conference on Artificial Intelligence in Information and Communication (ICAIIC)</w:t>
      </w:r>
      <w:r>
        <w:t>, 431-436. https://doi.org/10.1109/ICAIIC54071.2022.9722693</w:t>
      </w:r>
    </w:p>
    <w:p w14:paraId="2AAE54EA" w14:textId="77777777" w:rsidR="001B4A68" w:rsidRDefault="00AE7E2C">
      <w:pPr>
        <w:pStyle w:val="BodyText"/>
      </w:pPr>
      <w:r>
        <w:t xml:space="preserve">[3] </w:t>
      </w:r>
      <w:proofErr w:type="spellStart"/>
      <w:r>
        <w:t>Seong</w:t>
      </w:r>
      <w:proofErr w:type="spellEnd"/>
      <w:r>
        <w:t xml:space="preserve">-Ho Park (2023). Realistic Contents of Traditional Cultural Heritage in the Posthuman Era. </w:t>
      </w:r>
      <w:r>
        <w:rPr>
          <w:i/>
        </w:rPr>
        <w:t xml:space="preserve">The </w:t>
      </w:r>
      <w:r>
        <w:rPr>
          <w:i/>
        </w:rPr>
        <w:t>Journal of Innovation Industry Technology</w:t>
      </w:r>
      <w:r>
        <w:t>. https://doi.org/10.60032/jiit.2023.1.1.37</w:t>
      </w:r>
    </w:p>
    <w:p w14:paraId="7CFC6B06" w14:textId="77777777" w:rsidR="001B4A68" w:rsidRDefault="00AE7E2C">
      <w:pPr>
        <w:pStyle w:val="BodyText"/>
      </w:pPr>
      <w:r>
        <w:t xml:space="preserve">[4] Noemi Mauro et al. (2021). Beyond Traditional Cultural Heritage Recommender Systems: Suggesting Airbnb Experiences to Users. </w:t>
      </w:r>
      <w:r>
        <w:rPr>
          <w:i/>
        </w:rPr>
        <w:t>Adjunct Proceedings of the 29th ACM Confer</w:t>
      </w:r>
      <w:r>
        <w:rPr>
          <w:i/>
        </w:rPr>
        <w:t>ence on User Modeling, Adaptation and Personalization</w:t>
      </w:r>
      <w:r>
        <w:t>. https://doi.org/10.1145/3450614.3463385</w:t>
      </w:r>
    </w:p>
    <w:p w14:paraId="7AA2B319" w14:textId="77777777" w:rsidR="001B4A68" w:rsidRDefault="00AE7E2C">
      <w:pPr>
        <w:pStyle w:val="BodyText"/>
      </w:pPr>
      <w:r>
        <w:t xml:space="preserve">[5] </w:t>
      </w:r>
      <w:proofErr w:type="spellStart"/>
      <w:r>
        <w:t>Koniherawati</w:t>
      </w:r>
      <w:proofErr w:type="spellEnd"/>
      <w:r>
        <w:t xml:space="preserve"> (2020). </w:t>
      </w:r>
      <w:proofErr w:type="spellStart"/>
      <w:r>
        <w:t>Luweng</w:t>
      </w:r>
      <w:proofErr w:type="spellEnd"/>
      <w:r>
        <w:t xml:space="preserve"> as a Traditional Cultural Heritage. </w:t>
      </w:r>
      <w:r>
        <w:rPr>
          <w:i/>
        </w:rPr>
        <w:t>Proceedings of the 2nd International Media Conference 2019 (IMC 2019)</w:t>
      </w:r>
      <w:r>
        <w:t>. https://doi.org/10.299</w:t>
      </w:r>
      <w:r>
        <w:t>1/assehr.k.200325.022</w:t>
      </w:r>
    </w:p>
    <w:p w14:paraId="4EBDB1E7" w14:textId="77777777" w:rsidR="001B4A68" w:rsidRDefault="00AE7E2C">
      <w:pPr>
        <w:pStyle w:val="BodyText"/>
      </w:pPr>
      <w:r>
        <w:lastRenderedPageBreak/>
        <w:t xml:space="preserve">[6] R. </w:t>
      </w:r>
      <w:proofErr w:type="spellStart"/>
      <w:r>
        <w:t>Rahmawati</w:t>
      </w:r>
      <w:proofErr w:type="spellEnd"/>
      <w:r>
        <w:t xml:space="preserve">, A. </w:t>
      </w:r>
      <w:proofErr w:type="spellStart"/>
      <w:r>
        <w:t>Harsono</w:t>
      </w:r>
      <w:proofErr w:type="spellEnd"/>
      <w:r>
        <w:t xml:space="preserve"> (2018). Strengthening Character Education through Traditional Cultural Heritage</w:t>
      </w:r>
    </w:p>
    <w:p w14:paraId="5E5ED371" w14:textId="77777777" w:rsidR="001B4A68" w:rsidRDefault="00AE7E2C">
      <w:pPr>
        <w:pStyle w:val="BodyText"/>
      </w:pPr>
      <w:r>
        <w:t>[7] Jun Xia et al. (2024). Trends and Future Directions in Research on the Protection of Traditional Village Cultural Heritag</w:t>
      </w:r>
      <w:r>
        <w:t xml:space="preserve">e in Urban Renewal. </w:t>
      </w:r>
      <w:r>
        <w:rPr>
          <w:i/>
        </w:rPr>
        <w:t>Buildings</w:t>
      </w:r>
      <w:r>
        <w:t>. https://doi.org/10.3390/buildings14051362</w:t>
      </w:r>
    </w:p>
    <w:p w14:paraId="76E27ECC" w14:textId="77777777" w:rsidR="001B4A68" w:rsidRDefault="00AE7E2C">
      <w:pPr>
        <w:pStyle w:val="BodyText"/>
      </w:pPr>
      <w:r>
        <w:t xml:space="preserve">[8] V. </w:t>
      </w:r>
      <w:proofErr w:type="spellStart"/>
      <w:r>
        <w:t>Ovsyannikov</w:t>
      </w:r>
      <w:proofErr w:type="spellEnd"/>
      <w:r>
        <w:t xml:space="preserve">, V. Yakunin (2014). Traditional Cultural Heritage and Tourist Activities in Young Industrial Cities (By the Example of Tolyatti). </w:t>
      </w:r>
      <w:r>
        <w:rPr>
          <w:i/>
        </w:rPr>
        <w:t>World applied sciences journal</w:t>
      </w:r>
      <w:r>
        <w:t>, 30</w:t>
      </w:r>
      <w:r>
        <w:t>, 218-220.</w:t>
      </w:r>
    </w:p>
    <w:p w14:paraId="6A2755C3" w14:textId="77777777" w:rsidR="001B4A68" w:rsidRDefault="00AE7E2C">
      <w:pPr>
        <w:pStyle w:val="BodyText"/>
      </w:pPr>
      <w:r>
        <w:t xml:space="preserve">[9] X. </w:t>
      </w:r>
      <w:proofErr w:type="spellStart"/>
      <w:r>
        <w:t>Nie</w:t>
      </w:r>
      <w:proofErr w:type="spellEnd"/>
      <w:r>
        <w:t xml:space="preserve"> et al. (2023). The spatial distribution of traditional intangible cultural heritage medicine of China and its influencing factors. </w:t>
      </w:r>
      <w:r>
        <w:rPr>
          <w:i/>
        </w:rPr>
        <w:t>Heritage Science</w:t>
      </w:r>
      <w:r>
        <w:t>, 11, 1-14. https://doi.org/10.1186/s40494-023-00929-0</w:t>
      </w:r>
    </w:p>
    <w:p w14:paraId="02120B36" w14:textId="77777777" w:rsidR="001B4A68" w:rsidRDefault="00AE7E2C">
      <w:pPr>
        <w:pStyle w:val="BodyText"/>
      </w:pPr>
      <w:r>
        <w:t xml:space="preserve">[10] </w:t>
      </w:r>
      <w:proofErr w:type="spellStart"/>
      <w:r>
        <w:t>Runjing</w:t>
      </w:r>
      <w:proofErr w:type="spellEnd"/>
      <w:r>
        <w:t xml:space="preserve"> Wang, Ju </w:t>
      </w:r>
      <w:proofErr w:type="spellStart"/>
      <w:r>
        <w:t>Hee</w:t>
      </w:r>
      <w:proofErr w:type="spellEnd"/>
      <w:r>
        <w:t xml:space="preserve"> Lee (2</w:t>
      </w:r>
      <w:r>
        <w:t xml:space="preserve">024). A Study on the Transmission of the </w:t>
      </w:r>
      <w:proofErr w:type="spellStart"/>
      <w:r>
        <w:t>Biandan</w:t>
      </w:r>
      <w:proofErr w:type="spellEnd"/>
      <w:r>
        <w:t xml:space="preserve"> Dance, an Ethnic Folk Dance from </w:t>
      </w:r>
      <w:proofErr w:type="gramStart"/>
      <w:r>
        <w:t>China :</w:t>
      </w:r>
      <w:proofErr w:type="gramEnd"/>
      <w:r>
        <w:t xml:space="preserve"> Focusing on </w:t>
      </w:r>
      <w:proofErr w:type="spellStart"/>
      <w:r>
        <w:t>Jiafang</w:t>
      </w:r>
      <w:proofErr w:type="spellEnd"/>
      <w:r>
        <w:t xml:space="preserve"> Middle School in Guangxi Province. </w:t>
      </w:r>
      <w:r>
        <w:rPr>
          <w:i/>
        </w:rPr>
        <w:t>Liberal Arts Innovation Center</w:t>
      </w:r>
      <w:r>
        <w:t>. https://doi.org/10.54698/kl.2024.16.91</w:t>
      </w:r>
    </w:p>
    <w:p w14:paraId="0944C347" w14:textId="77777777" w:rsidR="001B4A68" w:rsidRDefault="00AE7E2C">
      <w:pPr>
        <w:pStyle w:val="BodyText"/>
      </w:pPr>
      <w:r>
        <w:t>[11] Yan Xiang (2018). Ethnic Folk Dance</w:t>
      </w:r>
      <w:r>
        <w:t xml:space="preserve"> Class Teaching in the Training of “</w:t>
      </w:r>
      <w:proofErr w:type="gramStart"/>
      <w:r>
        <w:t>Non Heritage</w:t>
      </w:r>
      <w:proofErr w:type="gramEnd"/>
      <w:r>
        <w:t xml:space="preserve">” Dance Talents in Ethnic Areas. </w:t>
      </w:r>
      <w:proofErr w:type="spellStart"/>
      <w:r>
        <w:rPr>
          <w:i/>
        </w:rPr>
        <w:t>DEStech</w:t>
      </w:r>
      <w:proofErr w:type="spellEnd"/>
      <w:r>
        <w:rPr>
          <w:i/>
        </w:rPr>
        <w:t xml:space="preserve"> Transactions on Social Science, Education and Human Science</w:t>
      </w:r>
      <w:r>
        <w:t>. https://doi.org/10.12783/dtssehs/ichss2017/19551</w:t>
      </w:r>
    </w:p>
    <w:p w14:paraId="2E04382A" w14:textId="77777777" w:rsidR="001B4A68" w:rsidRDefault="00AE7E2C">
      <w:pPr>
        <w:pStyle w:val="BodyText"/>
      </w:pPr>
      <w:r>
        <w:t xml:space="preserve">[12] Wen Cai, </w:t>
      </w:r>
      <w:proofErr w:type="spellStart"/>
      <w:r>
        <w:t>Wenfeng</w:t>
      </w:r>
      <w:proofErr w:type="spellEnd"/>
      <w:r>
        <w:t xml:space="preserve"> Liu (2024). Innovative Strategies o</w:t>
      </w:r>
      <w:r>
        <w:t xml:space="preserve">f Virtual Reality Technology in Ethnic Dance Inheritance. </w:t>
      </w:r>
      <w:r>
        <w:rPr>
          <w:i/>
        </w:rPr>
        <w:t>Applied Mathematics and Nonlinear Sciences</w:t>
      </w:r>
      <w:r>
        <w:t>, 9. https://doi.org/10.2478/amns-2024-0844</w:t>
      </w:r>
    </w:p>
    <w:p w14:paraId="72EB64A8" w14:textId="77777777" w:rsidR="001B4A68" w:rsidRDefault="00AE7E2C">
      <w:pPr>
        <w:pStyle w:val="BodyText"/>
      </w:pPr>
      <w:r>
        <w:t xml:space="preserve">[13] Liao Min (2010). On Classroom Teaching of China’s Ethnic Folk Dance. </w:t>
      </w:r>
      <w:r>
        <w:rPr>
          <w:i/>
        </w:rPr>
        <w:t>Journal of Dalian Education University</w:t>
      </w:r>
      <w:r>
        <w:t>.</w:t>
      </w:r>
    </w:p>
    <w:p w14:paraId="4B8187F0" w14:textId="77777777" w:rsidR="001B4A68" w:rsidRDefault="00AE7E2C">
      <w:pPr>
        <w:pStyle w:val="BodyText"/>
      </w:pPr>
      <w:r>
        <w:t xml:space="preserve">[14] </w:t>
      </w:r>
      <w:proofErr w:type="spellStart"/>
      <w:r>
        <w:t>Viktoriia</w:t>
      </w:r>
      <w:proofErr w:type="spellEnd"/>
      <w:r>
        <w:t xml:space="preserve"> </w:t>
      </w:r>
      <w:proofErr w:type="spellStart"/>
      <w:r>
        <w:t>Volchukova</w:t>
      </w:r>
      <w:proofErr w:type="spellEnd"/>
      <w:r>
        <w:t xml:space="preserve">, Olena Tishchenko (2023). INTERCULTURAL INTERACTION OF FOLK-STAGE DANCE OF UKRAINE AND EUROPEAN COUNTRIES. </w:t>
      </w:r>
      <w:r>
        <w:rPr>
          <w:i/>
        </w:rPr>
        <w:t>The Modern Higher Education Review</w:t>
      </w:r>
      <w:r>
        <w:t>. https://doi.org/10.28925/2617-5266.2023.81</w:t>
      </w:r>
    </w:p>
    <w:p w14:paraId="4348F102" w14:textId="77777777" w:rsidR="001B4A68" w:rsidRDefault="00AE7E2C">
      <w:pPr>
        <w:pStyle w:val="BodyText"/>
      </w:pPr>
      <w:r>
        <w:t>[15] Biao Zhao (2022). Research on the int</w:t>
      </w:r>
      <w:r>
        <w:t>egration of traditional culture into the teaching of folk dance in colleges and universities</w:t>
      </w:r>
    </w:p>
    <w:p w14:paraId="6052A600" w14:textId="77777777" w:rsidR="001B4A68" w:rsidRDefault="00AE7E2C">
      <w:pPr>
        <w:pStyle w:val="BodyText"/>
      </w:pPr>
      <w:r>
        <w:t xml:space="preserve">[16] </w:t>
      </w:r>
      <w:proofErr w:type="spellStart"/>
      <w:r>
        <w:t>Qiong</w:t>
      </w:r>
      <w:proofErr w:type="spellEnd"/>
      <w:r>
        <w:t xml:space="preserve"> Yang, </w:t>
      </w:r>
      <w:proofErr w:type="spellStart"/>
      <w:r>
        <w:t>Lijuan</w:t>
      </w:r>
      <w:proofErr w:type="spellEnd"/>
      <w:r>
        <w:t xml:space="preserve"> Wu (2021). Opinions on the Choreography Creation of Yunnan Traditional Folk Dance. </w:t>
      </w:r>
      <w:r>
        <w:rPr>
          <w:i/>
        </w:rPr>
        <w:t>Proceedings of the 6th International Conference on Arts,</w:t>
      </w:r>
      <w:r>
        <w:rPr>
          <w:i/>
        </w:rPr>
        <w:t xml:space="preserve"> Design and Contemporary Education (ICADCE 2020)</w:t>
      </w:r>
      <w:r>
        <w:t>. https://doi.org/10.2991/ASSEHR.K.210106.016</w:t>
      </w:r>
    </w:p>
    <w:p w14:paraId="5DB74AC1" w14:textId="77777777" w:rsidR="001B4A68" w:rsidRDefault="00AE7E2C">
      <w:pPr>
        <w:pStyle w:val="BodyText"/>
      </w:pPr>
      <w:r>
        <w:t xml:space="preserve">[17] Jun Hu, </w:t>
      </w:r>
      <w:proofErr w:type="spellStart"/>
      <w:r>
        <w:t>Tianshi</w:t>
      </w:r>
      <w:proofErr w:type="spellEnd"/>
      <w:r>
        <w:t xml:space="preserve"> Hou (2022). Application of Dynamic Process Neural Network Model Identification in Ethnic Dance Online Teaching System. </w:t>
      </w:r>
      <w:r>
        <w:rPr>
          <w:i/>
        </w:rPr>
        <w:t>Computational Intellig</w:t>
      </w:r>
      <w:r>
        <w:rPr>
          <w:i/>
        </w:rPr>
        <w:t>ence and Neuroscience</w:t>
      </w:r>
      <w:r>
        <w:t>, 2022. https://doi.org/10.1155/2022/2825530</w:t>
      </w:r>
    </w:p>
    <w:p w14:paraId="5BBBB883" w14:textId="77777777" w:rsidR="001B4A68" w:rsidRDefault="00AE7E2C">
      <w:pPr>
        <w:pStyle w:val="BodyText"/>
      </w:pPr>
      <w:r>
        <w:t xml:space="preserve">[18] Joseph T. Lobo (2023). Protecting Philippine Dance Traditions via Education of Tomorrow’s Pedagogues: The Role of Individual Interest and School Engagement. </w:t>
      </w:r>
      <w:r>
        <w:rPr>
          <w:i/>
        </w:rPr>
        <w:t>Journal of Ethnic and Cultur</w:t>
      </w:r>
      <w:r>
        <w:rPr>
          <w:i/>
        </w:rPr>
        <w:t>al Studies</w:t>
      </w:r>
      <w:r>
        <w:t>. https://doi.org/10.29333/ejecs/1527</w:t>
      </w:r>
    </w:p>
    <w:p w14:paraId="4BA250BB" w14:textId="77777777" w:rsidR="001B4A68" w:rsidRDefault="00AE7E2C">
      <w:pPr>
        <w:pStyle w:val="BodyText"/>
      </w:pPr>
      <w:r>
        <w:lastRenderedPageBreak/>
        <w:t xml:space="preserve">[19] W. </w:t>
      </w:r>
      <w:proofErr w:type="spellStart"/>
      <w:r>
        <w:t>Mengji</w:t>
      </w:r>
      <w:proofErr w:type="spellEnd"/>
      <w:r>
        <w:t xml:space="preserve"> (2011). On the Minority Features in the Reform of Curriculum for the </w:t>
      </w:r>
      <w:proofErr w:type="gramStart"/>
      <w:r>
        <w:t>Folk Dance</w:t>
      </w:r>
      <w:proofErr w:type="gramEnd"/>
      <w:r>
        <w:t xml:space="preserve"> Course of the Dancing Major of Guizhou University for Nationalities. </w:t>
      </w:r>
      <w:r>
        <w:rPr>
          <w:i/>
        </w:rPr>
        <w:t>Journal of Guizhou University for Nationalit</w:t>
      </w:r>
      <w:r>
        <w:rPr>
          <w:i/>
        </w:rPr>
        <w:t>ies</w:t>
      </w:r>
      <w:r>
        <w:t>.</w:t>
      </w:r>
    </w:p>
    <w:p w14:paraId="2CFFF94A" w14:textId="77777777" w:rsidR="001B4A68" w:rsidRDefault="00AE7E2C">
      <w:pPr>
        <w:pStyle w:val="BodyText"/>
      </w:pPr>
      <w:r>
        <w:t xml:space="preserve">[20] Gan </w:t>
      </w:r>
      <w:proofErr w:type="spellStart"/>
      <w:r>
        <w:t>Xue-ron</w:t>
      </w:r>
      <w:proofErr w:type="spellEnd"/>
      <w:r>
        <w:t xml:space="preserve"> (2008). Under the new curriculum reform options Street Dance Fitness University Teaching diversified research and capacity-building</w:t>
      </w:r>
    </w:p>
    <w:p w14:paraId="730B602D" w14:textId="77777777" w:rsidR="001B4A68" w:rsidRDefault="00AE7E2C">
      <w:pPr>
        <w:pStyle w:val="BodyText"/>
      </w:pPr>
      <w:r>
        <w:t>[21] Pan Li (2019). Reflections on the Construction of Curriculum Resources in Art Universities and Co</w:t>
      </w:r>
      <w:r>
        <w:t>lleges - A Case Study of College English Combined with Dance Majors</w:t>
      </w:r>
    </w:p>
    <w:p w14:paraId="16758574" w14:textId="77777777" w:rsidR="001B4A68" w:rsidRDefault="00AE7E2C">
      <w:pPr>
        <w:pStyle w:val="BodyText"/>
      </w:pPr>
      <w:r>
        <w:t xml:space="preserve">[22] Li Le, Yuan-Cheng Chang (2023). The relationship between innovative self-efficacy and innovative ability of dance </w:t>
      </w:r>
      <w:proofErr w:type="gramStart"/>
      <w:r>
        <w:t>majors</w:t>
      </w:r>
      <w:proofErr w:type="gramEnd"/>
      <w:r>
        <w:t xml:space="preserve"> students in Chinese Universities research. </w:t>
      </w:r>
      <w:r>
        <w:rPr>
          <w:i/>
        </w:rPr>
        <w:t>Educational Researc</w:t>
      </w:r>
      <w:r>
        <w:rPr>
          <w:i/>
        </w:rPr>
        <w:t>h and Reviews</w:t>
      </w:r>
      <w:r>
        <w:t>. https://doi.org/10.5897/err2023.4316</w:t>
      </w:r>
    </w:p>
    <w:p w14:paraId="358D6438" w14:textId="77777777" w:rsidR="001B4A68" w:rsidRDefault="00AE7E2C">
      <w:pPr>
        <w:pStyle w:val="BodyText"/>
      </w:pPr>
      <w:r>
        <w:t xml:space="preserve">[23] </w:t>
      </w:r>
      <w:proofErr w:type="spellStart"/>
      <w:r>
        <w:t>Jin</w:t>
      </w:r>
      <w:proofErr w:type="spellEnd"/>
      <w:r>
        <w:t xml:space="preserve"> Li (2009). Research on the reform of university sport dancing curriculum. </w:t>
      </w:r>
      <w:r>
        <w:rPr>
          <w:i/>
        </w:rPr>
        <w:t xml:space="preserve">Journal of </w:t>
      </w:r>
      <w:proofErr w:type="spellStart"/>
      <w:r>
        <w:rPr>
          <w:i/>
        </w:rPr>
        <w:t>Shangqiu</w:t>
      </w:r>
      <w:proofErr w:type="spellEnd"/>
      <w:r>
        <w:rPr>
          <w:i/>
        </w:rPr>
        <w:t xml:space="preserve"> Teachers College</w:t>
      </w:r>
      <w:r>
        <w:t>.</w:t>
      </w:r>
    </w:p>
    <w:p w14:paraId="0C4A9136" w14:textId="77777777" w:rsidR="001B4A68" w:rsidRDefault="00AE7E2C">
      <w:pPr>
        <w:pStyle w:val="BodyText"/>
      </w:pPr>
      <w:r>
        <w:t>[24] Tang Lian (2011). About the Affection of the Dance Cheering in the Reform of C</w:t>
      </w:r>
      <w:r>
        <w:t>ollege Girls Physical Education</w:t>
      </w:r>
    </w:p>
    <w:p w14:paraId="23B1886E" w14:textId="77777777" w:rsidR="001B4A68" w:rsidRDefault="00AE7E2C">
      <w:pPr>
        <w:pStyle w:val="BodyText"/>
      </w:pPr>
      <w:r>
        <w:t xml:space="preserve">[25] </w:t>
      </w:r>
      <w:proofErr w:type="spellStart"/>
      <w:r>
        <w:t>Zhai</w:t>
      </w:r>
      <w:proofErr w:type="spellEnd"/>
      <w:r>
        <w:t xml:space="preserve"> Lin (2008). Curriculum Cultural Construction of Physique Dance in Physical Education Institutes</w:t>
      </w:r>
    </w:p>
    <w:p w14:paraId="6CCBA632" w14:textId="77777777" w:rsidR="001B4A68" w:rsidRDefault="00AE7E2C">
      <w:pPr>
        <w:pStyle w:val="BodyText"/>
      </w:pPr>
      <w:r>
        <w:t>[26] Shen Cheng-xu (2014). The Feasibility of Dragon Dance and Lion Dance in Colleges and Universities——A Case of Anhu</w:t>
      </w:r>
      <w:r>
        <w:t xml:space="preserve">i Science and Technology University. </w:t>
      </w:r>
      <w:r>
        <w:rPr>
          <w:i/>
        </w:rPr>
        <w:t xml:space="preserve">Journal of </w:t>
      </w:r>
      <w:proofErr w:type="spellStart"/>
      <w:r>
        <w:rPr>
          <w:i/>
        </w:rPr>
        <w:t>Hengshui</w:t>
      </w:r>
      <w:proofErr w:type="spellEnd"/>
      <w:r>
        <w:rPr>
          <w:i/>
        </w:rPr>
        <w:t xml:space="preserve"> University</w:t>
      </w:r>
      <w:r>
        <w:t>.</w:t>
      </w:r>
    </w:p>
    <w:p w14:paraId="5BB3BBE1" w14:textId="77777777" w:rsidR="001B4A68" w:rsidRDefault="00AE7E2C">
      <w:pPr>
        <w:pStyle w:val="BodyText"/>
      </w:pPr>
      <w:r>
        <w:t xml:space="preserve">[27] P. </w:t>
      </w:r>
      <w:proofErr w:type="spellStart"/>
      <w:r>
        <w:t>Denicolo</w:t>
      </w:r>
      <w:proofErr w:type="spellEnd"/>
      <w:r>
        <w:t>, Michael Kompf (2005). Connecting policy and practice: challenges for teaching and learning in schools and universities https://doi.org/10.4324/9780203012529</w:t>
      </w:r>
    </w:p>
    <w:sectPr w:rsidR="001B4A68">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109B" w14:textId="77777777" w:rsidR="00AE7E2C" w:rsidRDefault="00AE7E2C">
      <w:pPr>
        <w:spacing w:after="0"/>
      </w:pPr>
      <w:r>
        <w:separator/>
      </w:r>
    </w:p>
  </w:endnote>
  <w:endnote w:type="continuationSeparator" w:id="0">
    <w:p w14:paraId="1017A522" w14:textId="77777777" w:rsidR="00AE7E2C" w:rsidRDefault="00AE7E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533884"/>
      <w:docPartObj>
        <w:docPartGallery w:val="Page Numbers (Bottom of Page)"/>
        <w:docPartUnique/>
      </w:docPartObj>
    </w:sdtPr>
    <w:sdtEndPr>
      <w:rPr>
        <w:noProof/>
      </w:rPr>
    </w:sdtEndPr>
    <w:sdtContent>
      <w:p w14:paraId="60763B62" w14:textId="1A2A86EF" w:rsidR="00C51A5F" w:rsidRDefault="00C51A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C444C8" w14:textId="77777777" w:rsidR="00C51A5F" w:rsidRDefault="00C51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432F5" w14:textId="77777777" w:rsidR="00AE7E2C" w:rsidRDefault="00AE7E2C">
      <w:pPr>
        <w:spacing w:after="0"/>
      </w:pPr>
      <w:r>
        <w:separator/>
      </w:r>
    </w:p>
  </w:footnote>
  <w:footnote w:type="continuationSeparator" w:id="0">
    <w:p w14:paraId="7E224D00" w14:textId="77777777" w:rsidR="00AE7E2C" w:rsidRDefault="00AE7E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EA454B4C"/>
    <w:lvl w:ilvl="0">
      <w:numFmt w:val="bullet"/>
      <w:lvlText w:val="•"/>
      <w:lvlJc w:val="left"/>
      <w:pPr>
        <w:tabs>
          <w:tab w:val="left" w:pos="0"/>
        </w:tabs>
        <w:ind w:left="480" w:hanging="480"/>
      </w:pPr>
    </w:lvl>
    <w:lvl w:ilvl="1">
      <w:numFmt w:val="bullet"/>
      <w:lvlText w:val="–"/>
      <w:lvlJc w:val="left"/>
      <w:pPr>
        <w:tabs>
          <w:tab w:val="left" w:pos="720"/>
        </w:tabs>
        <w:ind w:left="1200" w:hanging="480"/>
      </w:pPr>
    </w:lvl>
    <w:lvl w:ilvl="2">
      <w:numFmt w:val="bullet"/>
      <w:lvlText w:val="•"/>
      <w:lvlJc w:val="left"/>
      <w:pPr>
        <w:tabs>
          <w:tab w:val="left" w:pos="1440"/>
        </w:tabs>
        <w:ind w:left="1920" w:hanging="480"/>
      </w:pPr>
    </w:lvl>
    <w:lvl w:ilvl="3">
      <w:numFmt w:val="bullet"/>
      <w:lvlText w:val="–"/>
      <w:lvlJc w:val="left"/>
      <w:pPr>
        <w:tabs>
          <w:tab w:val="left" w:pos="2160"/>
        </w:tabs>
        <w:ind w:left="2640" w:hanging="480"/>
      </w:pPr>
    </w:lvl>
    <w:lvl w:ilvl="4">
      <w:numFmt w:val="bullet"/>
      <w:lvlText w:val="•"/>
      <w:lvlJc w:val="left"/>
      <w:pPr>
        <w:tabs>
          <w:tab w:val="left" w:pos="2880"/>
        </w:tabs>
        <w:ind w:left="3360" w:hanging="480"/>
      </w:pPr>
    </w:lvl>
    <w:lvl w:ilvl="5">
      <w:numFmt w:val="bullet"/>
      <w:lvlText w:val="–"/>
      <w:lvlJc w:val="left"/>
      <w:pPr>
        <w:tabs>
          <w:tab w:val="left" w:pos="3600"/>
        </w:tabs>
        <w:ind w:left="4080" w:hanging="480"/>
      </w:pPr>
    </w:lvl>
    <w:lvl w:ilvl="6">
      <w:numFmt w:val="bullet"/>
      <w:lvlText w:val="•"/>
      <w:lvlJc w:val="left"/>
      <w:pPr>
        <w:tabs>
          <w:tab w:val="left" w:pos="4320"/>
        </w:tabs>
        <w:ind w:left="4800" w:hanging="480"/>
      </w:pPr>
    </w:lvl>
    <w:lvl w:ilvl="7">
      <w:numFmt w:val="bullet"/>
      <w:lvlText w:val="–"/>
      <w:lvlJc w:val="left"/>
      <w:pPr>
        <w:tabs>
          <w:tab w:val="left" w:pos="5040"/>
        </w:tabs>
        <w:ind w:left="5520" w:hanging="480"/>
      </w:pPr>
    </w:lvl>
    <w:lvl w:ilvl="8">
      <w:numFmt w:val="bullet"/>
      <w:lvlText w:val="•"/>
      <w:lvlJc w:val="left"/>
      <w:pPr>
        <w:tabs>
          <w:tab w:val="left" w:pos="5760"/>
        </w:tabs>
        <w:ind w:left="6240" w:hanging="480"/>
      </w:pPr>
    </w:lvl>
  </w:abstractNum>
  <w:abstractNum w:abstractNumId="1" w15:restartNumberingAfterBreak="0">
    <w:nsid w:val="2C1AE401"/>
    <w:multiLevelType w:val="multilevel"/>
    <w:tmpl w:val="2C1AE401"/>
    <w:lvl w:ilvl="0">
      <w:numFmt w:val="bullet"/>
      <w:lvlText w:val=" "/>
      <w:lvlJc w:val="left"/>
      <w:pPr>
        <w:tabs>
          <w:tab w:val="left" w:pos="0"/>
        </w:tabs>
        <w:ind w:left="480" w:hanging="480"/>
      </w:pPr>
    </w:lvl>
    <w:lvl w:ilvl="1">
      <w:numFmt w:val="bullet"/>
      <w:lvlText w:val=" "/>
      <w:lvlJc w:val="left"/>
      <w:pPr>
        <w:tabs>
          <w:tab w:val="left" w:pos="720"/>
        </w:tabs>
        <w:ind w:left="1200" w:hanging="480"/>
      </w:pPr>
    </w:lvl>
    <w:lvl w:ilvl="2">
      <w:numFmt w:val="bullet"/>
      <w:lvlText w:val=" "/>
      <w:lvlJc w:val="left"/>
      <w:pPr>
        <w:tabs>
          <w:tab w:val="left" w:pos="1440"/>
        </w:tabs>
        <w:ind w:left="1920" w:hanging="480"/>
      </w:pPr>
    </w:lvl>
    <w:lvl w:ilvl="3">
      <w:numFmt w:val="bullet"/>
      <w:lvlText w:val=" "/>
      <w:lvlJc w:val="left"/>
      <w:pPr>
        <w:tabs>
          <w:tab w:val="left" w:pos="2160"/>
        </w:tabs>
        <w:ind w:left="2640" w:hanging="480"/>
      </w:pPr>
    </w:lvl>
    <w:lvl w:ilvl="4">
      <w:numFmt w:val="bullet"/>
      <w:lvlText w:val=" "/>
      <w:lvlJc w:val="left"/>
      <w:pPr>
        <w:tabs>
          <w:tab w:val="left" w:pos="2880"/>
        </w:tabs>
        <w:ind w:left="3360" w:hanging="480"/>
      </w:pPr>
    </w:lvl>
    <w:lvl w:ilvl="5">
      <w:numFmt w:val="bullet"/>
      <w:lvlText w:val=" "/>
      <w:lvlJc w:val="left"/>
      <w:pPr>
        <w:tabs>
          <w:tab w:val="left" w:pos="3600"/>
        </w:tabs>
        <w:ind w:left="4080" w:hanging="480"/>
      </w:pPr>
    </w:lvl>
    <w:lvl w:ilvl="6">
      <w:numFmt w:val="bullet"/>
      <w:lvlText w:val=" "/>
      <w:lvlJc w:val="left"/>
      <w:pPr>
        <w:tabs>
          <w:tab w:val="left" w:pos="4320"/>
        </w:tabs>
        <w:ind w:left="4800" w:hanging="480"/>
      </w:pPr>
    </w:lvl>
    <w:lvl w:ilvl="7">
      <w:numFmt w:val="bullet"/>
      <w:lvlText w:val=" "/>
      <w:lvlJc w:val="left"/>
      <w:pPr>
        <w:tabs>
          <w:tab w:val="left" w:pos="5040"/>
        </w:tabs>
        <w:ind w:left="5520" w:hanging="480"/>
      </w:pPr>
    </w:lvl>
    <w:lvl w:ilvl="8">
      <w:numFmt w:val="bullet"/>
      <w:lvlText w:val=" "/>
      <w:lvlJc w:val="left"/>
      <w:pPr>
        <w:tabs>
          <w:tab w:val="left" w:pos="5760"/>
        </w:tabs>
        <w:ind w:left="6240" w:hanging="480"/>
      </w:pPr>
    </w:lvl>
  </w:abstractNum>
  <w:abstractNum w:abstractNumId="2" w15:restartNumberingAfterBreak="0">
    <w:nsid w:val="3FBBB9D9"/>
    <w:multiLevelType w:val="singleLevel"/>
    <w:tmpl w:val="3FBBB9D9"/>
    <w:lvl w:ilvl="0">
      <w:start w:val="1"/>
      <w:numFmt w:val="decimal"/>
      <w:suff w:val="space"/>
      <w:lvlText w:val="%1."/>
      <w:lvlJc w:val="left"/>
    </w:lvl>
  </w:abstractNum>
  <w:abstractNum w:abstractNumId="3" w15:restartNumberingAfterBreak="0">
    <w:nsid w:val="71315DCA"/>
    <w:multiLevelType w:val="multilevel"/>
    <w:tmpl w:val="71315DCA"/>
    <w:lvl w:ilvl="0">
      <w:start w:val="1"/>
      <w:numFmt w:val="decimal"/>
      <w:lvlText w:val="%1."/>
      <w:lvlJc w:val="left"/>
      <w:pPr>
        <w:tabs>
          <w:tab w:val="left" w:pos="0"/>
        </w:tabs>
        <w:ind w:left="480" w:hanging="480"/>
      </w:pPr>
    </w:lvl>
    <w:lvl w:ilvl="1">
      <w:start w:val="1"/>
      <w:numFmt w:val="decimal"/>
      <w:lvlText w:val="%2."/>
      <w:lvlJc w:val="left"/>
      <w:pPr>
        <w:tabs>
          <w:tab w:val="left" w:pos="720"/>
        </w:tabs>
        <w:ind w:left="1200" w:hanging="480"/>
      </w:pPr>
    </w:lvl>
    <w:lvl w:ilvl="2">
      <w:start w:val="1"/>
      <w:numFmt w:val="decimal"/>
      <w:lvlText w:val="%3."/>
      <w:lvlJc w:val="left"/>
      <w:pPr>
        <w:tabs>
          <w:tab w:val="left" w:pos="1440"/>
        </w:tabs>
        <w:ind w:left="1920" w:hanging="480"/>
      </w:pPr>
    </w:lvl>
    <w:lvl w:ilvl="3">
      <w:start w:val="1"/>
      <w:numFmt w:val="decimal"/>
      <w:lvlText w:val="%4."/>
      <w:lvlJc w:val="left"/>
      <w:pPr>
        <w:tabs>
          <w:tab w:val="left" w:pos="2160"/>
        </w:tabs>
        <w:ind w:left="2640" w:hanging="480"/>
      </w:pPr>
    </w:lvl>
    <w:lvl w:ilvl="4">
      <w:start w:val="1"/>
      <w:numFmt w:val="decimal"/>
      <w:lvlText w:val="%5."/>
      <w:lvlJc w:val="left"/>
      <w:pPr>
        <w:tabs>
          <w:tab w:val="left" w:pos="2880"/>
        </w:tabs>
        <w:ind w:left="3360" w:hanging="480"/>
      </w:pPr>
    </w:lvl>
    <w:lvl w:ilvl="5">
      <w:start w:val="1"/>
      <w:numFmt w:val="decimal"/>
      <w:lvlText w:val="%6."/>
      <w:lvlJc w:val="left"/>
      <w:pPr>
        <w:tabs>
          <w:tab w:val="left" w:pos="3600"/>
        </w:tabs>
        <w:ind w:left="4080" w:hanging="480"/>
      </w:pPr>
    </w:lvl>
    <w:lvl w:ilvl="6">
      <w:start w:val="1"/>
      <w:numFmt w:val="decimal"/>
      <w:lvlText w:val="%7."/>
      <w:lvlJc w:val="left"/>
      <w:pPr>
        <w:tabs>
          <w:tab w:val="left" w:pos="4320"/>
        </w:tabs>
        <w:ind w:left="4800" w:hanging="480"/>
      </w:pPr>
    </w:lvl>
    <w:lvl w:ilvl="7">
      <w:start w:val="1"/>
      <w:numFmt w:val="decimal"/>
      <w:lvlText w:val="%8."/>
      <w:lvlJc w:val="left"/>
      <w:pPr>
        <w:tabs>
          <w:tab w:val="left" w:pos="5040"/>
        </w:tabs>
        <w:ind w:left="5520" w:hanging="480"/>
      </w:pPr>
    </w:lvl>
    <w:lvl w:ilvl="8">
      <w:start w:val="1"/>
      <w:numFmt w:val="decimal"/>
      <w:lvlText w:val="%9."/>
      <w:lvlJc w:val="left"/>
      <w:pPr>
        <w:tabs>
          <w:tab w:val="left" w:pos="5760"/>
        </w:tabs>
        <w:ind w:left="6240" w:hanging="4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B4A68"/>
    <w:rsid w:val="004E29B3"/>
    <w:rsid w:val="00590D07"/>
    <w:rsid w:val="00784D58"/>
    <w:rsid w:val="008D6863"/>
    <w:rsid w:val="00AE7E2C"/>
    <w:rsid w:val="00B86B75"/>
    <w:rsid w:val="00BC48D5"/>
    <w:rsid w:val="00C36279"/>
    <w:rsid w:val="00C51A5F"/>
    <w:rsid w:val="00E315A3"/>
    <w:rsid w:val="34CA5CB1"/>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6C73"/>
  <w15:docId w15:val="{8E5AF3CA-6FDA-4F8F-912B-DC614393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 w:unhideWhenUsed="1" w:qFormat="1"/>
    <w:lsdException w:name="footer" w:uiPriority="99"/>
    <w:lsdException w:name="Title" w:qFormat="1"/>
    <w:lsdException w:name="Default Paragraph Font" w:semiHidden="1" w:unhideWhenUsed="1"/>
    <w:lsdException w:name="Body Text" w:qFormat="1"/>
    <w:lsdException w:name="Subtitle"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eastAsiaTheme="minorHAnsi"/>
      <w:sz w:val="24"/>
      <w:szCs w:val="24"/>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styleId="Caption">
    <w:name w:val="caption"/>
    <w:basedOn w:val="Normal"/>
    <w:pPr>
      <w:spacing w:after="120"/>
    </w:pPr>
    <w:rPr>
      <w:i/>
    </w:rPr>
  </w:style>
  <w:style w:type="paragraph" w:styleId="BlockText">
    <w:name w:val="Block Text"/>
    <w:basedOn w:val="BodyText"/>
    <w:next w:val="BodyText"/>
    <w:uiPriority w:val="9"/>
    <w:unhideWhenUsed/>
    <w:qFormat/>
    <w:pPr>
      <w:spacing w:before="100" w:after="100"/>
      <w:ind w:left="480" w:right="480"/>
    </w:pPr>
  </w:style>
  <w:style w:type="paragraph" w:styleId="Date">
    <w:name w:val="Date"/>
    <w:next w:val="BodyText"/>
    <w:qFormat/>
    <w:pPr>
      <w:keepNext/>
      <w:keepLines/>
      <w:spacing w:after="200"/>
      <w:jc w:val="center"/>
    </w:pPr>
    <w:rPr>
      <w:rFonts w:eastAsiaTheme="minorHAnsi"/>
      <w:sz w:val="24"/>
      <w:szCs w:val="24"/>
    </w:rPr>
  </w:style>
  <w:style w:type="paragraph" w:styleId="Subtitle">
    <w:name w:val="Subtitle"/>
    <w:basedOn w:val="Title"/>
    <w:next w:val="BodyText"/>
    <w:qFormat/>
    <w:pPr>
      <w:spacing w:before="240"/>
    </w:pPr>
    <w:rPr>
      <w:sz w:val="30"/>
      <w:szCs w:val="30"/>
    </w:r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FootnoteText">
    <w:name w:val="footnote text"/>
    <w:basedOn w:val="Normal"/>
    <w:uiPriority w:val="9"/>
    <w:unhideWhenUsed/>
    <w:qFormat/>
  </w:style>
  <w:style w:type="character" w:styleId="Hyperlink">
    <w:name w:val="Hyperlink"/>
    <w:basedOn w:val="BodyTextChar"/>
    <w:rPr>
      <w:color w:val="4F81BD" w:themeColor="accent1"/>
    </w:rPr>
  </w:style>
  <w:style w:type="character" w:customStyle="1" w:styleId="BodyTextChar">
    <w:name w:val="Body Text Char"/>
    <w:basedOn w:val="DefaultParagraphFont"/>
    <w:link w:val="BodyText"/>
  </w:style>
  <w:style w:type="character" w:styleId="FootnoteReference">
    <w:name w:val="footnote reference"/>
    <w:basedOn w:val="BodyTextChar"/>
    <w:rPr>
      <w:vertAlign w:val="superscript"/>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jc w:val="center"/>
    </w:pPr>
    <w:rPr>
      <w:rFonts w:eastAsiaTheme="minorHAnsi"/>
      <w:sz w:val="24"/>
      <w:szCs w:val="24"/>
    </w:rPr>
  </w:style>
  <w:style w:type="paragraph" w:customStyle="1" w:styleId="Abstract">
    <w:name w:val="Abstract"/>
    <w:basedOn w:val="Normal"/>
    <w:next w:val="BodyText"/>
    <w:qFormat/>
    <w:pPr>
      <w:keepNext/>
      <w:keepLines/>
      <w:spacing w:before="300" w:after="300"/>
    </w:pPr>
    <w:rPr>
      <w:sz w:val="20"/>
      <w:szCs w:val="20"/>
    </w:rPr>
  </w:style>
  <w:style w:type="paragraph" w:customStyle="1" w:styleId="Bibliography1">
    <w:name w:val="Bibliography1"/>
    <w:basedOn w:val="Normal"/>
    <w:qFormat/>
  </w:style>
  <w:style w:type="table" w:customStyle="1" w:styleId="Table">
    <w:name w:val="Table"/>
    <w:semiHidden/>
    <w:unhideWhenUsed/>
    <w:qFormat/>
    <w:tblPr>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BodyTextChar"/>
    <w:link w:val="SourceCode"/>
    <w:rPr>
      <w:rFonts w:ascii="Consolas" w:hAnsi="Consolas"/>
      <w:sz w:val="22"/>
    </w:rPr>
  </w:style>
  <w:style w:type="paragraph" w:customStyle="1" w:styleId="SourceCode">
    <w:name w:val="Source Code"/>
    <w:basedOn w:val="Normal"/>
    <w:link w:val="VerbatimChar"/>
    <w:pPr>
      <w:wordWrap w:val="0"/>
    </w:pPr>
  </w:style>
  <w:style w:type="paragraph" w:customStyle="1" w:styleId="TOCHeading1">
    <w:name w:val="TOC Heading1"/>
    <w:basedOn w:val="Heading1"/>
    <w:next w:val="BodyText"/>
    <w:uiPriority w:val="39"/>
    <w:unhideWhenUsed/>
    <w:qFormat/>
    <w:pPr>
      <w:spacing w:before="240" w:line="259" w:lineRule="auto"/>
      <w:outlineLvl w:val="9"/>
    </w:pPr>
    <w:rPr>
      <w:b w:val="0"/>
      <w:bCs w:val="0"/>
      <w:color w:val="365F91" w:themeColor="accent1" w:themeShade="BF"/>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NormalCharacter">
    <w:name w:val="NormalCharacter"/>
    <w:semiHidden/>
    <w:qFormat/>
    <w:rsid w:val="00C51A5F"/>
    <w:rPr>
      <w:rFonts w:ascii="Calibri" w:eastAsia="SimSun" w:hAnsi="Calibri" w:cs="Times New Roman"/>
      <w:kern w:val="2"/>
      <w:sz w:val="21"/>
      <w:szCs w:val="24"/>
      <w:lang w:val="en-US" w:eastAsia="zh-CN" w:bidi="ar-SA"/>
    </w:rPr>
  </w:style>
  <w:style w:type="paragraph" w:customStyle="1" w:styleId="s5">
    <w:name w:val="s5"/>
    <w:basedOn w:val="Normal"/>
    <w:qFormat/>
    <w:rsid w:val="00C51A5F"/>
    <w:pPr>
      <w:spacing w:before="100" w:beforeAutospacing="1" w:after="100" w:afterAutospacing="1"/>
    </w:pPr>
    <w:rPr>
      <w:rFonts w:ascii="SimSun" w:eastAsia="SimSun" w:hAnsi="SimSun" w:cs="SimSun"/>
      <w:szCs w:val="20"/>
      <w:lang w:eastAsia="zh-CN"/>
    </w:rPr>
  </w:style>
  <w:style w:type="paragraph" w:styleId="Header">
    <w:name w:val="header"/>
    <w:basedOn w:val="Normal"/>
    <w:link w:val="HeaderChar"/>
    <w:rsid w:val="00C51A5F"/>
    <w:pPr>
      <w:tabs>
        <w:tab w:val="center" w:pos="4680"/>
        <w:tab w:val="right" w:pos="9360"/>
      </w:tabs>
      <w:spacing w:after="0"/>
    </w:pPr>
  </w:style>
  <w:style w:type="character" w:customStyle="1" w:styleId="HeaderChar">
    <w:name w:val="Header Char"/>
    <w:basedOn w:val="DefaultParagraphFont"/>
    <w:link w:val="Header"/>
    <w:rsid w:val="00C51A5F"/>
    <w:rPr>
      <w:rFonts w:eastAsiaTheme="minorHAnsi"/>
      <w:sz w:val="24"/>
      <w:szCs w:val="24"/>
    </w:rPr>
  </w:style>
  <w:style w:type="paragraph" w:styleId="Footer">
    <w:name w:val="footer"/>
    <w:basedOn w:val="Normal"/>
    <w:link w:val="FooterChar"/>
    <w:uiPriority w:val="99"/>
    <w:rsid w:val="00C51A5F"/>
    <w:pPr>
      <w:tabs>
        <w:tab w:val="center" w:pos="4680"/>
        <w:tab w:val="right" w:pos="9360"/>
      </w:tabs>
      <w:spacing w:after="0"/>
    </w:pPr>
  </w:style>
  <w:style w:type="character" w:customStyle="1" w:styleId="FooterChar">
    <w:name w:val="Footer Char"/>
    <w:basedOn w:val="DefaultParagraphFont"/>
    <w:link w:val="Footer"/>
    <w:uiPriority w:val="99"/>
    <w:rsid w:val="00C51A5F"/>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71056">
      <w:bodyDiv w:val="1"/>
      <w:marLeft w:val="0"/>
      <w:marRight w:val="0"/>
      <w:marTop w:val="0"/>
      <w:marBottom w:val="0"/>
      <w:divBdr>
        <w:top w:val="none" w:sz="0" w:space="0" w:color="auto"/>
        <w:left w:val="none" w:sz="0" w:space="0" w:color="auto"/>
        <w:bottom w:val="none" w:sz="0" w:space="0" w:color="auto"/>
        <w:right w:val="none" w:sz="0" w:space="0" w:color="auto"/>
      </w:divBdr>
      <w:divsChild>
        <w:div w:id="900676545">
          <w:marLeft w:val="0"/>
          <w:marRight w:val="0"/>
          <w:marTop w:val="0"/>
          <w:marBottom w:val="0"/>
          <w:divBdr>
            <w:top w:val="none" w:sz="0" w:space="0" w:color="auto"/>
            <w:left w:val="none" w:sz="0" w:space="0" w:color="auto"/>
            <w:bottom w:val="none" w:sz="0" w:space="0" w:color="auto"/>
            <w:right w:val="none" w:sz="0" w:space="0" w:color="auto"/>
          </w:divBdr>
          <w:divsChild>
            <w:div w:id="1889758694">
              <w:marLeft w:val="0"/>
              <w:marRight w:val="0"/>
              <w:marTop w:val="0"/>
              <w:marBottom w:val="0"/>
              <w:divBdr>
                <w:top w:val="none" w:sz="0" w:space="0" w:color="auto"/>
                <w:left w:val="none" w:sz="0" w:space="0" w:color="auto"/>
                <w:bottom w:val="none" w:sz="0" w:space="0" w:color="auto"/>
                <w:right w:val="none" w:sz="0" w:space="0" w:color="auto"/>
              </w:divBdr>
              <w:divsChild>
                <w:div w:id="1106583774">
                  <w:marLeft w:val="0"/>
                  <w:marRight w:val="0"/>
                  <w:marTop w:val="0"/>
                  <w:marBottom w:val="0"/>
                  <w:divBdr>
                    <w:top w:val="none" w:sz="0" w:space="0" w:color="auto"/>
                    <w:left w:val="none" w:sz="0" w:space="0" w:color="auto"/>
                    <w:bottom w:val="none" w:sz="0" w:space="0" w:color="auto"/>
                    <w:right w:val="none" w:sz="0" w:space="0" w:color="auto"/>
                  </w:divBdr>
                  <w:divsChild>
                    <w:div w:id="584611206">
                      <w:marLeft w:val="0"/>
                      <w:marRight w:val="0"/>
                      <w:marTop w:val="0"/>
                      <w:marBottom w:val="0"/>
                      <w:divBdr>
                        <w:top w:val="none" w:sz="0" w:space="0" w:color="auto"/>
                        <w:left w:val="none" w:sz="0" w:space="0" w:color="auto"/>
                        <w:bottom w:val="none" w:sz="0" w:space="0" w:color="auto"/>
                        <w:right w:val="none" w:sz="0" w:space="0" w:color="auto"/>
                      </w:divBdr>
                      <w:divsChild>
                        <w:div w:id="2109766996">
                          <w:marLeft w:val="0"/>
                          <w:marRight w:val="0"/>
                          <w:marTop w:val="0"/>
                          <w:marBottom w:val="0"/>
                          <w:divBdr>
                            <w:top w:val="none" w:sz="0" w:space="0" w:color="auto"/>
                            <w:left w:val="none" w:sz="0" w:space="0" w:color="auto"/>
                            <w:bottom w:val="none" w:sz="0" w:space="0" w:color="auto"/>
                            <w:right w:val="none" w:sz="0" w:space="0" w:color="auto"/>
                          </w:divBdr>
                          <w:divsChild>
                            <w:div w:id="1782648526">
                              <w:marLeft w:val="0"/>
                              <w:marRight w:val="0"/>
                              <w:marTop w:val="0"/>
                              <w:marBottom w:val="0"/>
                              <w:divBdr>
                                <w:top w:val="none" w:sz="0" w:space="0" w:color="auto"/>
                                <w:left w:val="none" w:sz="0" w:space="0" w:color="auto"/>
                                <w:bottom w:val="none" w:sz="0" w:space="0" w:color="auto"/>
                                <w:right w:val="none" w:sz="0" w:space="0" w:color="auto"/>
                              </w:divBdr>
                              <w:divsChild>
                                <w:div w:id="1072461411">
                                  <w:marLeft w:val="0"/>
                                  <w:marRight w:val="0"/>
                                  <w:marTop w:val="0"/>
                                  <w:marBottom w:val="0"/>
                                  <w:divBdr>
                                    <w:top w:val="none" w:sz="0" w:space="0" w:color="auto"/>
                                    <w:left w:val="none" w:sz="0" w:space="0" w:color="auto"/>
                                    <w:bottom w:val="none" w:sz="0" w:space="0" w:color="auto"/>
                                    <w:right w:val="none" w:sz="0" w:space="0" w:color="auto"/>
                                  </w:divBdr>
                                  <w:divsChild>
                                    <w:div w:id="17612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Lixiujia816@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5715</Words>
  <Characters>32580</Characters>
  <Application>Microsoft Office Word</Application>
  <DocSecurity>0</DocSecurity>
  <Lines>271</Lines>
  <Paragraphs>76</Paragraphs>
  <ScaleCrop>false</ScaleCrop>
  <Company/>
  <LinksUpToDate>false</LinksUpToDate>
  <CharactersWithSpaces>38219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先让他赢再让他死</dc:creator>
  <cp:lastModifiedBy>Hp</cp:lastModifiedBy>
  <cp:revision>2</cp:revision>
  <dcterms:created xsi:type="dcterms:W3CDTF">2026-01-26T08:44:00Z</dcterms:created>
  <dcterms:modified xsi:type="dcterms:W3CDTF">2026-01-26T08:44:00Z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eyJoZGlkIjoiODNlNWIzOWE4ZDFkMDQzNzg2MGEyZjJlN2I4NDM2OTAiLCJ1c2VySWQiOiI1MjY5NjAyODgifQ==</vt:lpwstr>
  </property>
  <property fmtid="{D5CDD505-2E9C-101B-9397-08002B2CF9AE}" pid="3" name="KSOProductBuildVer">
    <vt:lpwstr>2052-12.1.0.20305</vt:lpwstr>
  </property>
  <property fmtid="{D5CDD505-2E9C-101B-9397-08002B2CF9AE}" pid="4" name="ICV">
    <vt:lpwstr>28772AB9E2084D018A2EE9F0DD9C25AD_12</vt:lpwstr>
  </property>
</Properties>
</file>