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27AC1" w14:textId="77777777" w:rsidR="00FF356B" w:rsidRDefault="00093ABF">
      <w:pPr>
        <w:spacing w:line="360" w:lineRule="auto"/>
        <w:jc w:val="center"/>
        <w:rPr>
          <w:rFonts w:ascii="Times New Roman" w:eastAsia="SimSun" w:hAnsi="Times New Roman" w:cs="Times New Roman"/>
          <w:b/>
          <w:bCs/>
          <w:sz w:val="24"/>
        </w:rPr>
      </w:pPr>
      <w:r>
        <w:rPr>
          <w:rFonts w:ascii="Times New Roman" w:eastAsia="SimSun" w:hAnsi="Times New Roman" w:cs="Times New Roman"/>
          <w:b/>
          <w:bCs/>
          <w:sz w:val="24"/>
        </w:rPr>
        <w:t>Gender Differences in the Changes of Physical Fitness Indicators Across Academic Years Among Undergraduate Students: A Longitudinal Data Analysis</w:t>
      </w:r>
    </w:p>
    <w:p w14:paraId="202C28AA" w14:textId="77777777" w:rsidR="00FF356B" w:rsidRDefault="00FF356B">
      <w:pPr>
        <w:spacing w:line="360" w:lineRule="auto"/>
        <w:rPr>
          <w:rFonts w:ascii="Times New Roman" w:eastAsia="SimSun" w:hAnsi="Times New Roman" w:cs="Times New Roman"/>
          <w:szCs w:val="21"/>
        </w:rPr>
      </w:pPr>
    </w:p>
    <w:p w14:paraId="5920C079" w14:textId="77777777" w:rsidR="00FF356B" w:rsidRDefault="00093ABF">
      <w:pPr>
        <w:spacing w:line="360" w:lineRule="auto"/>
        <w:jc w:val="center"/>
        <w:rPr>
          <w:rFonts w:ascii="Times New Roman" w:eastAsia="SimSun" w:hAnsi="Times New Roman" w:cs="Times New Roman"/>
          <w:szCs w:val="21"/>
        </w:rPr>
      </w:pPr>
      <w:proofErr w:type="spellStart"/>
      <w:r>
        <w:rPr>
          <w:rFonts w:ascii="Times New Roman" w:eastAsia="SimSun" w:hAnsi="Times New Roman" w:cs="Times New Roman"/>
          <w:szCs w:val="21"/>
        </w:rPr>
        <w:t>Nianting</w:t>
      </w:r>
      <w:proofErr w:type="spellEnd"/>
      <w:r>
        <w:rPr>
          <w:rFonts w:ascii="Times New Roman" w:eastAsia="SimSun" w:hAnsi="Times New Roman" w:cs="Times New Roman"/>
          <w:szCs w:val="21"/>
        </w:rPr>
        <w:t xml:space="preserve"> Liu</w:t>
      </w:r>
      <w:r>
        <w:rPr>
          <w:rFonts w:ascii="Times New Roman" w:eastAsia="SimSun" w:hAnsi="Times New Roman" w:cs="Times New Roman"/>
          <w:szCs w:val="21"/>
          <w:vertAlign w:val="superscript"/>
        </w:rPr>
        <w:t>1</w:t>
      </w:r>
      <w:proofErr w:type="gramStart"/>
      <w:r>
        <w:rPr>
          <w:rFonts w:ascii="Times New Roman" w:eastAsia="SimSun" w:hAnsi="Times New Roman" w:cs="Times New Roman" w:hint="eastAsia"/>
          <w:szCs w:val="21"/>
          <w:vertAlign w:val="superscript"/>
        </w:rPr>
        <w:t>+,</w:t>
      </w:r>
      <w:r>
        <w:rPr>
          <w:rFonts w:ascii="Times New Roman" w:eastAsia="SimSun" w:hAnsi="Times New Roman" w:cs="Times New Roman"/>
          <w:szCs w:val="21"/>
        </w:rPr>
        <w:t>*</w:t>
      </w:r>
      <w:proofErr w:type="gramEnd"/>
      <w:r>
        <w:rPr>
          <w:rFonts w:ascii="Times New Roman" w:eastAsia="SimSun" w:hAnsi="Times New Roman" w:cs="Times New Roman"/>
          <w:szCs w:val="21"/>
        </w:rPr>
        <w:t xml:space="preserve">, </w:t>
      </w:r>
      <w:proofErr w:type="spellStart"/>
      <w:r>
        <w:rPr>
          <w:rFonts w:ascii="Times New Roman" w:eastAsia="SimSun" w:hAnsi="Times New Roman" w:cs="Times New Roman"/>
          <w:szCs w:val="21"/>
        </w:rPr>
        <w:t>Renyi</w:t>
      </w:r>
      <w:proofErr w:type="spellEnd"/>
      <w:r>
        <w:rPr>
          <w:rFonts w:ascii="Times New Roman" w:eastAsia="SimSun" w:hAnsi="Times New Roman" w:cs="Times New Roman"/>
          <w:szCs w:val="21"/>
        </w:rPr>
        <w:t xml:space="preserve"> Ding</w:t>
      </w:r>
      <w:r>
        <w:rPr>
          <w:rFonts w:ascii="Times New Roman" w:eastAsia="SimSun" w:hAnsi="Times New Roman" w:cs="Times New Roman" w:hint="eastAsia"/>
          <w:szCs w:val="21"/>
          <w:vertAlign w:val="superscript"/>
        </w:rPr>
        <w:t>1</w:t>
      </w:r>
    </w:p>
    <w:p w14:paraId="5884BD12" w14:textId="77777777" w:rsidR="00FF356B" w:rsidRDefault="00FF356B">
      <w:pPr>
        <w:spacing w:line="360" w:lineRule="auto"/>
        <w:rPr>
          <w:rFonts w:ascii="Times New Roman" w:eastAsia="SimSun" w:hAnsi="Times New Roman" w:cs="Times New Roman"/>
          <w:szCs w:val="21"/>
        </w:rPr>
      </w:pPr>
    </w:p>
    <w:p w14:paraId="77563094" w14:textId="77777777" w:rsidR="00FF356B" w:rsidRDefault="00093ABF">
      <w:pPr>
        <w:spacing w:line="360" w:lineRule="auto"/>
        <w:rPr>
          <w:rFonts w:ascii="Times New Roman" w:eastAsia="SimSun" w:hAnsi="Times New Roman" w:cs="Times New Roman"/>
          <w:sz w:val="18"/>
          <w:szCs w:val="18"/>
        </w:rPr>
      </w:pPr>
      <w:r>
        <w:rPr>
          <w:rFonts w:ascii="Times New Roman" w:eastAsia="SimSun" w:hAnsi="Times New Roman" w:cs="Times New Roman"/>
          <w:sz w:val="18"/>
          <w:szCs w:val="18"/>
        </w:rPr>
        <w:t xml:space="preserve">1 Zhejiang Police College, No. 555 </w:t>
      </w:r>
      <w:proofErr w:type="spellStart"/>
      <w:r>
        <w:rPr>
          <w:rFonts w:ascii="Times New Roman" w:eastAsia="SimSun" w:hAnsi="Times New Roman" w:cs="Times New Roman"/>
          <w:sz w:val="18"/>
          <w:szCs w:val="18"/>
        </w:rPr>
        <w:t>Binwen</w:t>
      </w:r>
      <w:proofErr w:type="spellEnd"/>
      <w:r>
        <w:rPr>
          <w:rFonts w:ascii="Times New Roman" w:eastAsia="SimSun" w:hAnsi="Times New Roman" w:cs="Times New Roman"/>
          <w:sz w:val="18"/>
          <w:szCs w:val="18"/>
        </w:rPr>
        <w:t xml:space="preserve"> Road, </w:t>
      </w:r>
      <w:proofErr w:type="spellStart"/>
      <w:r>
        <w:rPr>
          <w:rFonts w:ascii="Times New Roman" w:eastAsia="SimSun" w:hAnsi="Times New Roman" w:cs="Times New Roman"/>
          <w:sz w:val="18"/>
          <w:szCs w:val="18"/>
        </w:rPr>
        <w:t>Binjiang</w:t>
      </w:r>
      <w:proofErr w:type="spellEnd"/>
      <w:r>
        <w:rPr>
          <w:rFonts w:ascii="Times New Roman" w:eastAsia="SimSun" w:hAnsi="Times New Roman" w:cs="Times New Roman"/>
          <w:sz w:val="18"/>
          <w:szCs w:val="18"/>
        </w:rPr>
        <w:t xml:space="preserve"> District, </w:t>
      </w:r>
      <w:r>
        <w:rPr>
          <w:rFonts w:ascii="Times New Roman" w:eastAsia="SimSun" w:hAnsi="Times New Roman" w:cs="Times New Roman"/>
          <w:sz w:val="18"/>
          <w:szCs w:val="18"/>
        </w:rPr>
        <w:t>Hangzhou, Zhejiang 310053, China</w:t>
      </w:r>
    </w:p>
    <w:p w14:paraId="4092A430" w14:textId="77777777" w:rsidR="00FF356B" w:rsidRDefault="00093ABF">
      <w:pPr>
        <w:spacing w:line="360" w:lineRule="auto"/>
        <w:rPr>
          <w:rFonts w:ascii="Times New Roman" w:eastAsia="SimSun" w:hAnsi="Times New Roman" w:cs="Times New Roman"/>
          <w:sz w:val="18"/>
          <w:szCs w:val="18"/>
        </w:rPr>
      </w:pPr>
      <w:r>
        <w:rPr>
          <w:rFonts w:ascii="Times New Roman" w:eastAsia="SimSun" w:hAnsi="Times New Roman" w:cs="Times New Roman"/>
          <w:sz w:val="18"/>
          <w:szCs w:val="18"/>
        </w:rPr>
        <w:t xml:space="preserve">* Corresponding Author: </w:t>
      </w:r>
      <w:proofErr w:type="spellStart"/>
      <w:r>
        <w:rPr>
          <w:rFonts w:ascii="Times New Roman" w:eastAsia="SimSun" w:hAnsi="Times New Roman" w:cs="Times New Roman"/>
          <w:sz w:val="18"/>
          <w:szCs w:val="18"/>
        </w:rPr>
        <w:t>Nianting</w:t>
      </w:r>
      <w:proofErr w:type="spellEnd"/>
      <w:r>
        <w:rPr>
          <w:rFonts w:ascii="Times New Roman" w:eastAsia="SimSun" w:hAnsi="Times New Roman" w:cs="Times New Roman"/>
          <w:sz w:val="18"/>
          <w:szCs w:val="18"/>
        </w:rPr>
        <w:t xml:space="preserve"> Liu, Email: lhyj2008@qq.com</w:t>
      </w:r>
    </w:p>
    <w:p w14:paraId="54B19A2E" w14:textId="77777777" w:rsidR="00FF356B" w:rsidRDefault="00FF356B">
      <w:pPr>
        <w:spacing w:line="360" w:lineRule="auto"/>
        <w:rPr>
          <w:rFonts w:ascii="Times New Roman" w:eastAsia="SimSun" w:hAnsi="Times New Roman" w:cs="Times New Roman"/>
          <w:szCs w:val="21"/>
        </w:rPr>
      </w:pPr>
    </w:p>
    <w:p w14:paraId="3C74C142" w14:textId="77777777" w:rsidR="00FF356B" w:rsidRDefault="00093ABF">
      <w:pPr>
        <w:pStyle w:val="Heading2"/>
        <w:keepNext w:val="0"/>
        <w:keepLines w:val="0"/>
        <w:widowControl/>
        <w:spacing w:line="360" w:lineRule="auto"/>
        <w:rPr>
          <w:rFonts w:ascii="Times New Roman" w:eastAsia="SimSun" w:hAnsi="Times New Roman" w:cs="Times New Roman"/>
          <w:color w:val="auto"/>
          <w:sz w:val="21"/>
          <w:szCs w:val="21"/>
        </w:rPr>
      </w:pPr>
      <w:r>
        <w:rPr>
          <w:rFonts w:ascii="Times New Roman" w:eastAsia="SimSun" w:hAnsi="Times New Roman" w:cs="Times New Roman"/>
          <w:color w:val="auto"/>
          <w:sz w:val="21"/>
          <w:szCs w:val="21"/>
        </w:rPr>
        <w:t>Abstract</w:t>
      </w:r>
    </w:p>
    <w:p w14:paraId="6626E60E" w14:textId="77777777" w:rsidR="00FF356B" w:rsidRDefault="00093ABF">
      <w:pPr>
        <w:pStyle w:val="NormalWeb"/>
        <w:widowControl/>
        <w:spacing w:line="360" w:lineRule="auto"/>
        <w:jc w:val="both"/>
        <w:rPr>
          <w:rFonts w:ascii="Times New Roman" w:eastAsia="SimSun" w:hAnsi="Times New Roman"/>
          <w:sz w:val="21"/>
          <w:szCs w:val="21"/>
        </w:rPr>
      </w:pPr>
      <w:r>
        <w:rPr>
          <w:rStyle w:val="Strong"/>
          <w:rFonts w:ascii="Times New Roman" w:eastAsia="SimSun" w:hAnsi="Times New Roman"/>
          <w:b w:val="0"/>
          <w:bCs w:val="0"/>
          <w:sz w:val="21"/>
          <w:szCs w:val="21"/>
        </w:rPr>
        <w:t>Objective:</w:t>
      </w:r>
      <w:r>
        <w:rPr>
          <w:rFonts w:ascii="Times New Roman" w:eastAsia="SimSun" w:hAnsi="Times New Roman"/>
          <w:sz w:val="21"/>
          <w:szCs w:val="21"/>
        </w:rPr>
        <w:t xml:space="preserve"> To examine grade-related changes in physical fitness indicators among undergraduate students and to explore sex differences in these trajectories, providing empirical evidence for physical education programs in universities.</w:t>
      </w:r>
    </w:p>
    <w:p w14:paraId="7D548232" w14:textId="77777777" w:rsidR="00FF356B" w:rsidRDefault="00093ABF">
      <w:pPr>
        <w:pStyle w:val="NormalWeb"/>
        <w:widowControl/>
        <w:spacing w:line="360" w:lineRule="auto"/>
        <w:jc w:val="both"/>
        <w:rPr>
          <w:rFonts w:ascii="Times New Roman" w:eastAsia="SimSun" w:hAnsi="Times New Roman"/>
          <w:sz w:val="21"/>
          <w:szCs w:val="21"/>
        </w:rPr>
      </w:pPr>
      <w:r>
        <w:rPr>
          <w:rStyle w:val="Strong"/>
          <w:rFonts w:ascii="Times New Roman" w:eastAsia="SimSun" w:hAnsi="Times New Roman"/>
          <w:b w:val="0"/>
          <w:bCs w:val="0"/>
          <w:sz w:val="21"/>
          <w:szCs w:val="21"/>
        </w:rPr>
        <w:t>Methods:</w:t>
      </w:r>
      <w:r>
        <w:rPr>
          <w:rFonts w:ascii="Times New Roman" w:eastAsia="SimSun" w:hAnsi="Times New Roman"/>
          <w:sz w:val="21"/>
          <w:szCs w:val="21"/>
        </w:rPr>
        <w:t xml:space="preserve"> Longitudinal data fro</w:t>
      </w:r>
      <w:r>
        <w:rPr>
          <w:rFonts w:ascii="Times New Roman" w:eastAsia="SimSun" w:hAnsi="Times New Roman"/>
          <w:sz w:val="21"/>
          <w:szCs w:val="21"/>
        </w:rPr>
        <w:t>m undergraduate physical fitness tests conducted at a university between 2013 and 2025 were analyzed. Lung capacity, standing long jump, sit-and-reach, and the 50-m sprint were included as outcome variables. Linear mixed-effects models were applied to lung</w:t>
      </w:r>
      <w:r>
        <w:rPr>
          <w:rFonts w:ascii="Times New Roman" w:eastAsia="SimSun" w:hAnsi="Times New Roman"/>
          <w:sz w:val="21"/>
          <w:szCs w:val="21"/>
        </w:rPr>
        <w:t xml:space="preserve"> capacity, standing long jump, and sit-and-reach to account for repeated measurements within individuals. For the 50-m sprint, performance was converted to running speed (m/s) and analyzed using generalized estimating equations. Grade, sex, and their inter</w:t>
      </w:r>
      <w:r>
        <w:rPr>
          <w:rFonts w:ascii="Times New Roman" w:eastAsia="SimSun" w:hAnsi="Times New Roman"/>
          <w:sz w:val="21"/>
          <w:szCs w:val="21"/>
        </w:rPr>
        <w:t>action were included as fixed effects, with enrollment year and gap years as covariates.</w:t>
      </w:r>
    </w:p>
    <w:p w14:paraId="2E13B393" w14:textId="77777777" w:rsidR="00FF356B" w:rsidRDefault="00093ABF">
      <w:pPr>
        <w:pStyle w:val="NormalWeb"/>
        <w:widowControl/>
        <w:spacing w:line="360" w:lineRule="auto"/>
        <w:jc w:val="both"/>
        <w:rPr>
          <w:rFonts w:ascii="Times New Roman" w:eastAsia="SimSun" w:hAnsi="Times New Roman"/>
          <w:sz w:val="21"/>
          <w:szCs w:val="21"/>
        </w:rPr>
      </w:pPr>
      <w:r>
        <w:rPr>
          <w:rStyle w:val="Strong"/>
          <w:rFonts w:ascii="Times New Roman" w:eastAsia="SimSun" w:hAnsi="Times New Roman"/>
          <w:b w:val="0"/>
          <w:bCs w:val="0"/>
          <w:sz w:val="21"/>
          <w:szCs w:val="21"/>
        </w:rPr>
        <w:t>Results:</w:t>
      </w:r>
      <w:r>
        <w:rPr>
          <w:rFonts w:ascii="Times New Roman" w:eastAsia="SimSun" w:hAnsi="Times New Roman"/>
          <w:sz w:val="21"/>
          <w:szCs w:val="21"/>
        </w:rPr>
        <w:t xml:space="preserve"> A total of 14,920 students with 49,156 observations were included. Lung capacity and standing long jump performance increased significantly with grade (</w:t>
      </w:r>
      <w:r>
        <w:rPr>
          <w:rStyle w:val="Emphasis"/>
          <w:rFonts w:ascii="Times New Roman" w:eastAsia="SimSun" w:hAnsi="Times New Roman"/>
          <w:sz w:val="21"/>
          <w:szCs w:val="21"/>
        </w:rPr>
        <w:t>P</w:t>
      </w:r>
      <w:r>
        <w:rPr>
          <w:rFonts w:ascii="Times New Roman" w:eastAsia="SimSun" w:hAnsi="Times New Roman"/>
          <w:sz w:val="21"/>
          <w:szCs w:val="21"/>
        </w:rPr>
        <w:t>&lt;0.00</w:t>
      </w:r>
      <w:r>
        <w:rPr>
          <w:rFonts w:ascii="Times New Roman" w:eastAsia="SimSun" w:hAnsi="Times New Roman"/>
          <w:sz w:val="21"/>
          <w:szCs w:val="21"/>
        </w:rPr>
        <w:t>1), and males exhibited higher levels than females for these indicators (</w:t>
      </w:r>
      <w:r>
        <w:rPr>
          <w:rStyle w:val="Emphasis"/>
          <w:rFonts w:ascii="Times New Roman" w:eastAsia="SimSun" w:hAnsi="Times New Roman"/>
          <w:sz w:val="21"/>
          <w:szCs w:val="21"/>
        </w:rPr>
        <w:t>P</w:t>
      </w:r>
      <w:r>
        <w:rPr>
          <w:rFonts w:ascii="Times New Roman" w:eastAsia="SimSun" w:hAnsi="Times New Roman"/>
          <w:sz w:val="21"/>
          <w:szCs w:val="21"/>
        </w:rPr>
        <w:t>&lt;0.001). Significant grade-by-sex interactions were observed for both lung capacity and standing long jump (</w:t>
      </w:r>
      <w:r>
        <w:rPr>
          <w:rStyle w:val="Emphasis"/>
          <w:rFonts w:ascii="Times New Roman" w:eastAsia="SimSun" w:hAnsi="Times New Roman"/>
          <w:sz w:val="21"/>
          <w:szCs w:val="21"/>
        </w:rPr>
        <w:t>P</w:t>
      </w:r>
      <w:r>
        <w:rPr>
          <w:rFonts w:ascii="Times New Roman" w:eastAsia="SimSun" w:hAnsi="Times New Roman"/>
          <w:sz w:val="21"/>
          <w:szCs w:val="21"/>
        </w:rPr>
        <w:t>&lt;0.01), indicating smaller grade-related improvements among females. Enro</w:t>
      </w:r>
      <w:r>
        <w:rPr>
          <w:rFonts w:ascii="Times New Roman" w:eastAsia="SimSun" w:hAnsi="Times New Roman"/>
          <w:sz w:val="21"/>
          <w:szCs w:val="21"/>
        </w:rPr>
        <w:t>llment year showed significant associations with several fitness indicators. Results for 50-m running speed were consistent with these main patterns and robust across different data-cleaning strategies.</w:t>
      </w:r>
    </w:p>
    <w:p w14:paraId="44DCC82C" w14:textId="77777777" w:rsidR="00FF356B" w:rsidRDefault="00093ABF">
      <w:pPr>
        <w:pStyle w:val="NormalWeb"/>
        <w:widowControl/>
        <w:spacing w:line="360" w:lineRule="auto"/>
        <w:jc w:val="both"/>
        <w:rPr>
          <w:rFonts w:ascii="Times New Roman" w:eastAsia="SimSun" w:hAnsi="Times New Roman"/>
          <w:sz w:val="21"/>
          <w:szCs w:val="21"/>
        </w:rPr>
      </w:pPr>
      <w:r>
        <w:rPr>
          <w:rStyle w:val="Strong"/>
          <w:rFonts w:ascii="Times New Roman" w:eastAsia="SimSun" w:hAnsi="Times New Roman"/>
          <w:b w:val="0"/>
          <w:bCs w:val="0"/>
          <w:sz w:val="21"/>
          <w:szCs w:val="21"/>
        </w:rPr>
        <w:lastRenderedPageBreak/>
        <w:t>Conclusion:</w:t>
      </w:r>
      <w:r>
        <w:rPr>
          <w:rFonts w:ascii="Times New Roman" w:eastAsia="SimSun" w:hAnsi="Times New Roman"/>
          <w:sz w:val="21"/>
          <w:szCs w:val="21"/>
        </w:rPr>
        <w:t xml:space="preserve"> Physical fitness indicators among undergr</w:t>
      </w:r>
      <w:r>
        <w:rPr>
          <w:rFonts w:ascii="Times New Roman" w:eastAsia="SimSun" w:hAnsi="Times New Roman"/>
          <w:sz w:val="21"/>
          <w:szCs w:val="21"/>
        </w:rPr>
        <w:t>aduate students demonstrate clear grade-related changes and pronounced sex differences. Findings from this longitudinal analysis provide empirical support for understanding physical fitness development in undergraduate populations and may inform physical e</w:t>
      </w:r>
      <w:r>
        <w:rPr>
          <w:rFonts w:ascii="Times New Roman" w:eastAsia="SimSun" w:hAnsi="Times New Roman"/>
          <w:sz w:val="21"/>
          <w:szCs w:val="21"/>
        </w:rPr>
        <w:t>ducation practices in universities.</w:t>
      </w:r>
    </w:p>
    <w:p w14:paraId="64F81B8B" w14:textId="77777777" w:rsidR="00FF356B" w:rsidRDefault="00093ABF">
      <w:pPr>
        <w:pStyle w:val="NormalWeb"/>
        <w:widowControl/>
        <w:spacing w:line="360" w:lineRule="auto"/>
        <w:jc w:val="both"/>
        <w:rPr>
          <w:rFonts w:ascii="Times New Roman" w:eastAsia="SimSun" w:hAnsi="Times New Roman"/>
          <w:b/>
          <w:bCs/>
          <w:sz w:val="21"/>
          <w:szCs w:val="21"/>
        </w:rPr>
      </w:pPr>
      <w:r>
        <w:rPr>
          <w:rStyle w:val="Strong"/>
          <w:rFonts w:ascii="Times New Roman" w:eastAsia="SimSun" w:hAnsi="Times New Roman"/>
          <w:sz w:val="21"/>
          <w:szCs w:val="21"/>
        </w:rPr>
        <w:t>Keywords:</w:t>
      </w:r>
      <w:r>
        <w:rPr>
          <w:rFonts w:ascii="Times New Roman" w:eastAsia="SimSun" w:hAnsi="Times New Roman"/>
          <w:b/>
          <w:bCs/>
          <w:sz w:val="21"/>
          <w:szCs w:val="21"/>
        </w:rPr>
        <w:t xml:space="preserve"> undergraduate students; physical fitness indicators; grade; sex differences; longitudinal analysis</w:t>
      </w:r>
    </w:p>
    <w:p w14:paraId="1D45A25A" w14:textId="77777777" w:rsidR="00FF356B" w:rsidRDefault="00FF356B">
      <w:pPr>
        <w:pStyle w:val="NormalWeb"/>
        <w:widowControl/>
        <w:spacing w:line="360" w:lineRule="auto"/>
        <w:jc w:val="both"/>
        <w:rPr>
          <w:rFonts w:ascii="Times New Roman" w:eastAsia="SimSun" w:hAnsi="Times New Roman"/>
          <w:sz w:val="21"/>
          <w:szCs w:val="21"/>
        </w:rPr>
      </w:pPr>
    </w:p>
    <w:p w14:paraId="13721E08"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In recent years, the Chinese government has attached great importance to the issue of student physical health.</w:t>
      </w:r>
      <w:r>
        <w:rPr>
          <w:rFonts w:ascii="Times New Roman" w:hAnsi="Times New Roman"/>
          <w:sz w:val="21"/>
          <w:szCs w:val="21"/>
        </w:rPr>
        <w:t xml:space="preserve"> The </w:t>
      </w:r>
      <w:r>
        <w:rPr>
          <w:rStyle w:val="Emphasis"/>
          <w:rFonts w:ascii="Times New Roman" w:hAnsi="Times New Roman"/>
          <w:sz w:val="21"/>
          <w:szCs w:val="21"/>
        </w:rPr>
        <w:t>Outline of the Plan for Building a Leading Country in Education (2024–2035)</w:t>
      </w:r>
      <w:r>
        <w:rPr>
          <w:rFonts w:ascii="Times New Roman" w:hAnsi="Times New Roman"/>
          <w:sz w:val="21"/>
          <w:szCs w:val="21"/>
        </w:rPr>
        <w:t xml:space="preserve"> clearly proposes deepening the reform of school physical education and promoting the all-round development of students. In addition, the </w:t>
      </w:r>
      <w:r>
        <w:rPr>
          <w:rStyle w:val="Emphasis"/>
          <w:rFonts w:ascii="Times New Roman" w:hAnsi="Times New Roman"/>
          <w:sz w:val="21"/>
          <w:szCs w:val="21"/>
        </w:rPr>
        <w:t xml:space="preserve">Opinions on Implementing the </w:t>
      </w:r>
      <w:r>
        <w:rPr>
          <w:rStyle w:val="Emphasis"/>
          <w:rFonts w:ascii="Times New Roman" w:hAnsi="Times New Roman"/>
          <w:sz w:val="21"/>
          <w:szCs w:val="21"/>
        </w:rPr>
        <w:t>Student Physical Fitness Enhancement Program</w:t>
      </w:r>
      <w:r>
        <w:rPr>
          <w:rFonts w:ascii="Times New Roman" w:hAnsi="Times New Roman"/>
          <w:sz w:val="21"/>
          <w:szCs w:val="21"/>
        </w:rPr>
        <w:t>, jointly issued by five ministries including the Ministry of Education, further provides systematic arrangements for strengthening students’ physical health, offering clear policy guidance for school physical ed</w:t>
      </w:r>
      <w:r>
        <w:rPr>
          <w:rFonts w:ascii="Times New Roman" w:hAnsi="Times New Roman"/>
          <w:sz w:val="21"/>
          <w:szCs w:val="21"/>
        </w:rPr>
        <w:t>ucation and student fitness development [1][2]. Against this background, the changing patterns of physical fitness among undergraduate students and their influencing factors have become important research topics in higher education.</w:t>
      </w:r>
    </w:p>
    <w:p w14:paraId="1BF6C963"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Existing studies have s</w:t>
      </w:r>
      <w:r>
        <w:rPr>
          <w:rFonts w:ascii="Times New Roman" w:hAnsi="Times New Roman"/>
          <w:sz w:val="21"/>
          <w:szCs w:val="21"/>
        </w:rPr>
        <w:t xml:space="preserve">hown that the overall physical health level of Chinese university students has exhibited either a declining or fluctuating trend, and that students in different academic years differ in various physical fitness indicators [3][4]. Related research has also </w:t>
      </w:r>
      <w:r>
        <w:rPr>
          <w:rFonts w:ascii="Times New Roman" w:hAnsi="Times New Roman"/>
          <w:sz w:val="21"/>
          <w:szCs w:val="21"/>
        </w:rPr>
        <w:t>found that university students’ physical fitness levels have shown marked changes across different historical periods, with prominent gender differences [5][6]. However, most existing studies are based on cross-sectional data, making it difficult to accura</w:t>
      </w:r>
      <w:r>
        <w:rPr>
          <w:rFonts w:ascii="Times New Roman" w:hAnsi="Times New Roman"/>
          <w:sz w:val="21"/>
          <w:szCs w:val="21"/>
        </w:rPr>
        <w:t>tely characterize individual developmental trajectories of physical fitness across academic years during undergraduate study, and also difficult to reveal gender-specific patterns of change. Therefore, a systematic analysis of gender differences in the cha</w:t>
      </w:r>
      <w:r>
        <w:rPr>
          <w:rFonts w:ascii="Times New Roman" w:hAnsi="Times New Roman"/>
          <w:sz w:val="21"/>
          <w:szCs w:val="21"/>
        </w:rPr>
        <w:t xml:space="preserve">nges of physical fitness indicators across academic years among undergraduate students based on longitudinal data is of important practical significance for </w:t>
      </w:r>
      <w:r>
        <w:rPr>
          <w:rFonts w:ascii="Times New Roman" w:hAnsi="Times New Roman"/>
          <w:sz w:val="21"/>
          <w:szCs w:val="21"/>
        </w:rPr>
        <w:lastRenderedPageBreak/>
        <w:t xml:space="preserve">deepening the reform of university physical education and implementing policies related to student </w:t>
      </w:r>
      <w:r>
        <w:rPr>
          <w:rFonts w:ascii="Times New Roman" w:hAnsi="Times New Roman"/>
          <w:sz w:val="21"/>
          <w:szCs w:val="21"/>
        </w:rPr>
        <w:t>physical fitness enhancement.</w:t>
      </w:r>
    </w:p>
    <w:p w14:paraId="6598A272" w14:textId="77777777" w:rsidR="00FF356B" w:rsidRDefault="00093ABF">
      <w:pPr>
        <w:pStyle w:val="Heading2"/>
        <w:keepNext w:val="0"/>
        <w:keepLines w:val="0"/>
        <w:widowControl/>
        <w:spacing w:line="360" w:lineRule="auto"/>
        <w:rPr>
          <w:rFonts w:ascii="Times New Roman" w:hAnsi="Times New Roman" w:cs="Times New Roman"/>
          <w:color w:val="auto"/>
          <w:sz w:val="21"/>
          <w:szCs w:val="21"/>
        </w:rPr>
      </w:pPr>
      <w:r>
        <w:rPr>
          <w:rFonts w:ascii="Times New Roman" w:hAnsi="Times New Roman" w:cs="Times New Roman"/>
          <w:color w:val="auto"/>
          <w:sz w:val="21"/>
          <w:szCs w:val="21"/>
        </w:rPr>
        <w:t>1 Study Subjects</w:t>
      </w:r>
    </w:p>
    <w:p w14:paraId="2B9CD432"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The study population consisted of full-time undergraduate students enrolled at a university in China. The data were obtained from the university’s annual physical fitness test records and corresponding student</w:t>
      </w:r>
      <w:r>
        <w:rPr>
          <w:rFonts w:ascii="Times New Roman" w:hAnsi="Times New Roman"/>
          <w:sz w:val="21"/>
          <w:szCs w:val="21"/>
        </w:rPr>
        <w:t xml:space="preserve"> registration information from 2013 to 2025. Because the standard undergraduate training period in Chinese universities is four years, the data for each year generally included students from multiple enrollment cohorts. For example, the 2013 dataset includ</w:t>
      </w:r>
      <w:r>
        <w:rPr>
          <w:rFonts w:ascii="Times New Roman" w:hAnsi="Times New Roman"/>
          <w:sz w:val="21"/>
          <w:szCs w:val="21"/>
        </w:rPr>
        <w:t>ed students enrolled from the 2010 to 2013 cohorts; the 2018 dataset included students from the 2015 to 2018 cohorts; and the 2025 dataset included students from the 2022 to 2025 cohorts.</w:t>
      </w:r>
    </w:p>
    <w:p w14:paraId="3A854167"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Using student ID numbers as unique individual identifiers, repeated </w:t>
      </w:r>
      <w:r>
        <w:rPr>
          <w:rFonts w:ascii="Times New Roman" w:hAnsi="Times New Roman"/>
          <w:sz w:val="21"/>
          <w:szCs w:val="21"/>
        </w:rPr>
        <w:t>measurements from the same student across different academic years were longitudinally matched to construct an individual-level longitudinal database. All participants were full-time undergraduate students; junior college students and postgraduate students</w:t>
      </w:r>
      <w:r>
        <w:rPr>
          <w:rFonts w:ascii="Times New Roman" w:hAnsi="Times New Roman"/>
          <w:sz w:val="21"/>
          <w:szCs w:val="21"/>
        </w:rPr>
        <w:t xml:space="preserve"> were excluded. A total of 14,920 students were ultimately included, yielding 49,156 valid observation records. The relevant physical fitness test indicators and implementation procedures were all conducted in accordance with the </w:t>
      </w:r>
      <w:r>
        <w:rPr>
          <w:rStyle w:val="Emphasis"/>
          <w:rFonts w:ascii="Times New Roman" w:hAnsi="Times New Roman"/>
          <w:sz w:val="21"/>
          <w:szCs w:val="21"/>
        </w:rPr>
        <w:t xml:space="preserve">National Student Physical </w:t>
      </w:r>
      <w:r>
        <w:rPr>
          <w:rStyle w:val="Emphasis"/>
          <w:rFonts w:ascii="Times New Roman" w:hAnsi="Times New Roman"/>
          <w:sz w:val="21"/>
          <w:szCs w:val="21"/>
        </w:rPr>
        <w:t>Health Standards</w:t>
      </w:r>
      <w:r>
        <w:rPr>
          <w:rFonts w:ascii="Times New Roman" w:hAnsi="Times New Roman"/>
          <w:sz w:val="21"/>
          <w:szCs w:val="21"/>
        </w:rPr>
        <w:t xml:space="preserve"> [7].</w:t>
      </w:r>
    </w:p>
    <w:p w14:paraId="252AF1F3" w14:textId="77777777" w:rsidR="00FF356B" w:rsidRDefault="00093ABF">
      <w:pPr>
        <w:pStyle w:val="Heading2"/>
        <w:keepNext w:val="0"/>
        <w:keepLines w:val="0"/>
        <w:widowControl/>
        <w:spacing w:line="360" w:lineRule="auto"/>
        <w:rPr>
          <w:rFonts w:ascii="Times New Roman" w:hAnsi="Times New Roman" w:cs="Times New Roman"/>
          <w:color w:val="auto"/>
          <w:sz w:val="21"/>
          <w:szCs w:val="21"/>
        </w:rPr>
      </w:pPr>
      <w:r>
        <w:rPr>
          <w:rFonts w:ascii="Times New Roman" w:hAnsi="Times New Roman" w:cs="Times New Roman"/>
          <w:color w:val="auto"/>
          <w:sz w:val="21"/>
          <w:szCs w:val="21"/>
        </w:rPr>
        <w:t>2 Methods</w:t>
      </w:r>
    </w:p>
    <w:p w14:paraId="7B90AF78"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2.1 Indicator and Variable Processing</w:t>
      </w:r>
    </w:p>
    <w:p w14:paraId="78A897A2"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This study selected </w:t>
      </w:r>
      <w:r>
        <w:rPr>
          <w:rStyle w:val="Strong"/>
          <w:rFonts w:ascii="Times New Roman" w:hAnsi="Times New Roman"/>
          <w:b w:val="0"/>
          <w:bCs w:val="0"/>
          <w:sz w:val="21"/>
          <w:szCs w:val="21"/>
        </w:rPr>
        <w:t>vital capacity</w:t>
      </w:r>
      <w:r>
        <w:rPr>
          <w:rFonts w:ascii="Times New Roman" w:hAnsi="Times New Roman"/>
          <w:sz w:val="21"/>
          <w:szCs w:val="21"/>
        </w:rPr>
        <w:t xml:space="preserve">, </w:t>
      </w:r>
      <w:r>
        <w:rPr>
          <w:rStyle w:val="Strong"/>
          <w:rFonts w:ascii="Times New Roman" w:hAnsi="Times New Roman"/>
          <w:b w:val="0"/>
          <w:bCs w:val="0"/>
          <w:sz w:val="21"/>
          <w:szCs w:val="21"/>
        </w:rPr>
        <w:t>standing long jump</w:t>
      </w:r>
      <w:r>
        <w:rPr>
          <w:rFonts w:ascii="Times New Roman" w:hAnsi="Times New Roman"/>
          <w:sz w:val="21"/>
          <w:szCs w:val="21"/>
        </w:rPr>
        <w:t xml:space="preserve">, </w:t>
      </w:r>
      <w:r>
        <w:rPr>
          <w:rStyle w:val="Strong"/>
          <w:rFonts w:ascii="Times New Roman" w:hAnsi="Times New Roman"/>
          <w:b w:val="0"/>
          <w:bCs w:val="0"/>
          <w:sz w:val="21"/>
          <w:szCs w:val="21"/>
        </w:rPr>
        <w:t>sit-and-reach</w:t>
      </w:r>
      <w:r>
        <w:rPr>
          <w:rFonts w:ascii="Times New Roman" w:hAnsi="Times New Roman"/>
          <w:sz w:val="21"/>
          <w:szCs w:val="21"/>
        </w:rPr>
        <w:t xml:space="preserve">, and </w:t>
      </w:r>
      <w:r>
        <w:rPr>
          <w:rStyle w:val="Strong"/>
          <w:rFonts w:ascii="Times New Roman" w:hAnsi="Times New Roman"/>
          <w:b w:val="0"/>
          <w:bCs w:val="0"/>
          <w:sz w:val="21"/>
          <w:szCs w:val="21"/>
        </w:rPr>
        <w:t>50 m sprint</w:t>
      </w:r>
      <w:r>
        <w:rPr>
          <w:rFonts w:ascii="Times New Roman" w:hAnsi="Times New Roman"/>
          <w:sz w:val="21"/>
          <w:szCs w:val="21"/>
        </w:rPr>
        <w:t xml:space="preserve"> from the student physical fitness test as indicators of physical fitness. Among them, </w:t>
      </w:r>
      <w:r>
        <w:rPr>
          <w:rStyle w:val="Strong"/>
          <w:rFonts w:ascii="Times New Roman" w:hAnsi="Times New Roman"/>
          <w:b w:val="0"/>
          <w:bCs w:val="0"/>
          <w:sz w:val="21"/>
          <w:szCs w:val="21"/>
        </w:rPr>
        <w:t>vital capacit</w:t>
      </w:r>
      <w:r>
        <w:rPr>
          <w:rStyle w:val="Strong"/>
          <w:rFonts w:ascii="Times New Roman" w:hAnsi="Times New Roman"/>
          <w:b w:val="0"/>
          <w:bCs w:val="0"/>
          <w:sz w:val="21"/>
          <w:szCs w:val="21"/>
        </w:rPr>
        <w:t>y</w:t>
      </w:r>
      <w:r>
        <w:rPr>
          <w:rFonts w:ascii="Times New Roman" w:hAnsi="Times New Roman"/>
          <w:sz w:val="21"/>
          <w:szCs w:val="21"/>
        </w:rPr>
        <w:t xml:space="preserve"> (mL) reflects cardiopulmonary function, </w:t>
      </w:r>
      <w:r>
        <w:rPr>
          <w:rStyle w:val="Strong"/>
          <w:rFonts w:ascii="Times New Roman" w:hAnsi="Times New Roman"/>
          <w:b w:val="0"/>
          <w:bCs w:val="0"/>
          <w:sz w:val="21"/>
          <w:szCs w:val="21"/>
        </w:rPr>
        <w:t>standing long jump</w:t>
      </w:r>
      <w:r>
        <w:rPr>
          <w:rFonts w:ascii="Times New Roman" w:hAnsi="Times New Roman"/>
          <w:sz w:val="21"/>
          <w:szCs w:val="21"/>
        </w:rPr>
        <w:t xml:space="preserve"> (cm) reflects lower-limb explosive power, </w:t>
      </w:r>
      <w:r>
        <w:rPr>
          <w:rStyle w:val="Strong"/>
          <w:rFonts w:ascii="Times New Roman" w:hAnsi="Times New Roman"/>
          <w:b w:val="0"/>
          <w:bCs w:val="0"/>
          <w:sz w:val="21"/>
          <w:szCs w:val="21"/>
        </w:rPr>
        <w:t>sit-and-reach</w:t>
      </w:r>
      <w:r>
        <w:rPr>
          <w:rFonts w:ascii="Times New Roman" w:hAnsi="Times New Roman"/>
          <w:sz w:val="21"/>
          <w:szCs w:val="21"/>
        </w:rPr>
        <w:t xml:space="preserve"> (cm) reflects flexibility, and the </w:t>
      </w:r>
      <w:r>
        <w:rPr>
          <w:rStyle w:val="Strong"/>
          <w:rFonts w:ascii="Times New Roman" w:hAnsi="Times New Roman"/>
          <w:b w:val="0"/>
          <w:bCs w:val="0"/>
          <w:sz w:val="21"/>
          <w:szCs w:val="21"/>
        </w:rPr>
        <w:t>50 m sprint</w:t>
      </w:r>
      <w:r>
        <w:rPr>
          <w:rFonts w:ascii="Times New Roman" w:hAnsi="Times New Roman"/>
          <w:sz w:val="21"/>
          <w:szCs w:val="21"/>
        </w:rPr>
        <w:t xml:space="preserve"> is used to assess short-distance speed ability.</w:t>
      </w:r>
    </w:p>
    <w:p w14:paraId="76CE2A98"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lastRenderedPageBreak/>
        <w:t xml:space="preserve">The variable </w:t>
      </w:r>
      <w:r>
        <w:rPr>
          <w:rStyle w:val="Strong"/>
          <w:rFonts w:ascii="Times New Roman" w:hAnsi="Times New Roman"/>
          <w:b w:val="0"/>
          <w:bCs w:val="0"/>
          <w:sz w:val="21"/>
          <w:szCs w:val="21"/>
        </w:rPr>
        <w:t>academic year</w:t>
      </w:r>
      <w:r>
        <w:rPr>
          <w:rFonts w:ascii="Times New Roman" w:hAnsi="Times New Roman"/>
          <w:sz w:val="21"/>
          <w:szCs w:val="21"/>
        </w:rPr>
        <w:t xml:space="preserve"> was defined as th</w:t>
      </w:r>
      <w:r>
        <w:rPr>
          <w:rFonts w:ascii="Times New Roman" w:hAnsi="Times New Roman"/>
          <w:sz w:val="21"/>
          <w:szCs w:val="21"/>
        </w:rPr>
        <w:t>e student’s year of study at the time of testing and was coded from 1 to 4, corresponding to freshman through senior year. To facilitate model estimation and interpretation of interaction effects, the academic year variable was centered (</w:t>
      </w:r>
      <w:proofErr w:type="spellStart"/>
      <w:r>
        <w:rPr>
          <w:rStyle w:val="Strong"/>
          <w:rFonts w:ascii="Times New Roman" w:hAnsi="Times New Roman"/>
          <w:b w:val="0"/>
          <w:bCs w:val="0"/>
          <w:sz w:val="21"/>
          <w:szCs w:val="21"/>
        </w:rPr>
        <w:t>grade_center</w:t>
      </w:r>
      <w:proofErr w:type="spellEnd"/>
      <w:r>
        <w:rPr>
          <w:rFonts w:ascii="Times New Roman" w:hAnsi="Times New Roman"/>
          <w:sz w:val="21"/>
          <w:szCs w:val="21"/>
        </w:rPr>
        <w:t>), tha</w:t>
      </w:r>
      <w:r>
        <w:rPr>
          <w:rFonts w:ascii="Times New Roman" w:hAnsi="Times New Roman"/>
          <w:sz w:val="21"/>
          <w:szCs w:val="21"/>
        </w:rPr>
        <w:t xml:space="preserve">t is, expressed as the deviation from the sample mean academic year. </w:t>
      </w:r>
      <w:r>
        <w:rPr>
          <w:rStyle w:val="Strong"/>
          <w:rFonts w:ascii="Times New Roman" w:hAnsi="Times New Roman"/>
          <w:b w:val="0"/>
          <w:bCs w:val="0"/>
          <w:sz w:val="21"/>
          <w:szCs w:val="21"/>
        </w:rPr>
        <w:t>Gender</w:t>
      </w:r>
      <w:r>
        <w:rPr>
          <w:rFonts w:ascii="Times New Roman" w:hAnsi="Times New Roman"/>
          <w:sz w:val="21"/>
          <w:szCs w:val="21"/>
        </w:rPr>
        <w:t xml:space="preserve"> was coded as male = 0 and female = 1.</w:t>
      </w:r>
    </w:p>
    <w:p w14:paraId="5E44F617"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At the same time, </w:t>
      </w:r>
      <w:r>
        <w:rPr>
          <w:rStyle w:val="Strong"/>
          <w:rFonts w:ascii="Times New Roman" w:hAnsi="Times New Roman"/>
          <w:b w:val="0"/>
          <w:bCs w:val="0"/>
          <w:sz w:val="21"/>
          <w:szCs w:val="21"/>
        </w:rPr>
        <w:t>year of enrollment</w:t>
      </w:r>
      <w:r>
        <w:rPr>
          <w:rFonts w:ascii="Times New Roman" w:hAnsi="Times New Roman"/>
          <w:sz w:val="21"/>
          <w:szCs w:val="21"/>
        </w:rPr>
        <w:t xml:space="preserve"> (</w:t>
      </w:r>
      <w:r>
        <w:rPr>
          <w:rStyle w:val="Emphasis"/>
          <w:rFonts w:ascii="Times New Roman" w:hAnsi="Times New Roman"/>
          <w:sz w:val="21"/>
          <w:szCs w:val="21"/>
        </w:rPr>
        <w:t>cohort year</w:t>
      </w:r>
      <w:r>
        <w:rPr>
          <w:rFonts w:ascii="Times New Roman" w:hAnsi="Times New Roman"/>
          <w:sz w:val="21"/>
          <w:szCs w:val="21"/>
        </w:rPr>
        <w:t xml:space="preserve">) and </w:t>
      </w:r>
      <w:r>
        <w:rPr>
          <w:rStyle w:val="Strong"/>
          <w:rFonts w:ascii="Times New Roman" w:hAnsi="Times New Roman"/>
          <w:b w:val="0"/>
          <w:bCs w:val="0"/>
          <w:sz w:val="21"/>
          <w:szCs w:val="21"/>
        </w:rPr>
        <w:t>years of suspension</w:t>
      </w:r>
      <w:r>
        <w:rPr>
          <w:rFonts w:ascii="Times New Roman" w:hAnsi="Times New Roman"/>
          <w:sz w:val="21"/>
          <w:szCs w:val="21"/>
        </w:rPr>
        <w:t xml:space="preserve"> (</w:t>
      </w:r>
      <w:r>
        <w:rPr>
          <w:rStyle w:val="Emphasis"/>
          <w:rFonts w:ascii="Times New Roman" w:hAnsi="Times New Roman"/>
          <w:sz w:val="21"/>
          <w:szCs w:val="21"/>
        </w:rPr>
        <w:t>gap year</w:t>
      </w:r>
      <w:r>
        <w:rPr>
          <w:rFonts w:ascii="Times New Roman" w:hAnsi="Times New Roman"/>
          <w:sz w:val="21"/>
          <w:szCs w:val="21"/>
        </w:rPr>
        <w:t xml:space="preserve">) were included as covariates to control for the </w:t>
      </w:r>
      <w:r>
        <w:rPr>
          <w:rFonts w:ascii="Times New Roman" w:hAnsi="Times New Roman"/>
          <w:sz w:val="21"/>
          <w:szCs w:val="21"/>
        </w:rPr>
        <w:t>potential effects of differences in enrollment period background and discontinuous study experience on physical fitness indicators. The year of enrollment variable was also centered in the analysis (</w:t>
      </w:r>
      <w:proofErr w:type="spellStart"/>
      <w:r>
        <w:rPr>
          <w:rStyle w:val="Strong"/>
          <w:rFonts w:ascii="Times New Roman" w:hAnsi="Times New Roman"/>
          <w:b w:val="0"/>
          <w:bCs w:val="0"/>
          <w:sz w:val="21"/>
          <w:szCs w:val="21"/>
        </w:rPr>
        <w:t>cohort_center</w:t>
      </w:r>
      <w:proofErr w:type="spellEnd"/>
      <w:r>
        <w:rPr>
          <w:rFonts w:ascii="Times New Roman" w:hAnsi="Times New Roman"/>
          <w:sz w:val="21"/>
          <w:szCs w:val="21"/>
        </w:rPr>
        <w:t>) to reduce multicollinearity and improve mo</w:t>
      </w:r>
      <w:r>
        <w:rPr>
          <w:rFonts w:ascii="Times New Roman" w:hAnsi="Times New Roman"/>
          <w:sz w:val="21"/>
          <w:szCs w:val="21"/>
        </w:rPr>
        <w:t>del stability.</w:t>
      </w:r>
    </w:p>
    <w:p w14:paraId="16A1A75A"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For the </w:t>
      </w:r>
      <w:r>
        <w:rPr>
          <w:rStyle w:val="Strong"/>
          <w:rFonts w:ascii="Times New Roman" w:hAnsi="Times New Roman"/>
          <w:b w:val="0"/>
          <w:bCs w:val="0"/>
          <w:sz w:val="21"/>
          <w:szCs w:val="21"/>
        </w:rPr>
        <w:t>50 m sprint</w:t>
      </w:r>
      <w:r>
        <w:rPr>
          <w:rFonts w:ascii="Times New Roman" w:hAnsi="Times New Roman"/>
          <w:sz w:val="21"/>
          <w:szCs w:val="21"/>
        </w:rPr>
        <w:t xml:space="preserve">, considering that it is measured in time (s) and its numerical distribution is skewed, the sprint result was converted into a </w:t>
      </w:r>
      <w:r>
        <w:rPr>
          <w:rStyle w:val="Strong"/>
          <w:rFonts w:ascii="Times New Roman" w:hAnsi="Times New Roman"/>
          <w:b w:val="0"/>
          <w:bCs w:val="0"/>
          <w:sz w:val="21"/>
          <w:szCs w:val="21"/>
        </w:rPr>
        <w:t>speed indicator</w:t>
      </w:r>
      <w:r>
        <w:rPr>
          <w:rFonts w:ascii="Times New Roman" w:hAnsi="Times New Roman"/>
          <w:sz w:val="21"/>
          <w:szCs w:val="21"/>
        </w:rPr>
        <w:t xml:space="preserve"> (m/s) for easier interpretation and better model fitting, calculated as 50 m di</w:t>
      </w:r>
      <w:r>
        <w:rPr>
          <w:rFonts w:ascii="Times New Roman" w:hAnsi="Times New Roman"/>
          <w:sz w:val="21"/>
          <w:szCs w:val="21"/>
        </w:rPr>
        <w:t xml:space="preserve">vided by completion time. A higher speed value indicates better sprint performance. The GEE results for 50 m sprint speed are presented in </w:t>
      </w:r>
      <w:r>
        <w:rPr>
          <w:rStyle w:val="Strong"/>
          <w:rFonts w:ascii="Times New Roman" w:hAnsi="Times New Roman"/>
          <w:b w:val="0"/>
          <w:bCs w:val="0"/>
          <w:sz w:val="21"/>
          <w:szCs w:val="21"/>
        </w:rPr>
        <w:t>Supplementary Table S2</w:t>
      </w:r>
      <w:r>
        <w:rPr>
          <w:rFonts w:ascii="Times New Roman" w:hAnsi="Times New Roman"/>
          <w:sz w:val="21"/>
          <w:szCs w:val="21"/>
        </w:rPr>
        <w:t xml:space="preserve">. The main effects were consistent in direction under both </w:t>
      </w:r>
      <w:r>
        <w:rPr>
          <w:rStyle w:val="Strong"/>
          <w:rFonts w:ascii="Times New Roman" w:hAnsi="Times New Roman"/>
          <w:b w:val="0"/>
          <w:bCs w:val="0"/>
          <w:sz w:val="21"/>
          <w:szCs w:val="21"/>
        </w:rPr>
        <w:t>Rule A</w:t>
      </w:r>
      <w:r>
        <w:rPr>
          <w:rFonts w:ascii="Times New Roman" w:hAnsi="Times New Roman"/>
          <w:sz w:val="21"/>
          <w:szCs w:val="21"/>
        </w:rPr>
        <w:t xml:space="preserve"> (no filtering of extreme valu</w:t>
      </w:r>
      <w:r>
        <w:rPr>
          <w:rFonts w:ascii="Times New Roman" w:hAnsi="Times New Roman"/>
          <w:sz w:val="21"/>
          <w:szCs w:val="21"/>
        </w:rPr>
        <w:t xml:space="preserve">es) and </w:t>
      </w:r>
      <w:r>
        <w:rPr>
          <w:rStyle w:val="Strong"/>
          <w:rFonts w:ascii="Times New Roman" w:hAnsi="Times New Roman"/>
          <w:b w:val="0"/>
          <w:bCs w:val="0"/>
          <w:sz w:val="21"/>
          <w:szCs w:val="21"/>
        </w:rPr>
        <w:t>Rule B</w:t>
      </w:r>
      <w:r>
        <w:rPr>
          <w:rFonts w:ascii="Times New Roman" w:hAnsi="Times New Roman"/>
          <w:sz w:val="21"/>
          <w:szCs w:val="21"/>
        </w:rPr>
        <w:t xml:space="preserve"> (filtering based on the 1st–99th percentile range of speed), indicating robust results.</w:t>
      </w:r>
    </w:p>
    <w:p w14:paraId="529DD6C0"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2.2 Statistical Analysis</w:t>
      </w:r>
    </w:p>
    <w:p w14:paraId="0C44604A"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This study employed longitudinal data analysis methods to examine gender differences in the changes of physical fitness indicators across academic years among undergraduate students. Given that repeated measurements were available for the same student acro</w:t>
      </w:r>
      <w:r>
        <w:rPr>
          <w:rFonts w:ascii="Times New Roman" w:hAnsi="Times New Roman"/>
          <w:sz w:val="21"/>
          <w:szCs w:val="21"/>
        </w:rPr>
        <w:t xml:space="preserve">ss different academic years and the observations were therefore not independent, </w:t>
      </w:r>
      <w:r>
        <w:rPr>
          <w:rStyle w:val="Strong"/>
          <w:rFonts w:ascii="Times New Roman" w:hAnsi="Times New Roman"/>
          <w:b w:val="0"/>
          <w:bCs w:val="0"/>
          <w:sz w:val="21"/>
          <w:szCs w:val="21"/>
        </w:rPr>
        <w:t>linear mixed-effects models</w:t>
      </w:r>
      <w:r>
        <w:rPr>
          <w:rFonts w:ascii="Times New Roman" w:hAnsi="Times New Roman"/>
          <w:sz w:val="21"/>
          <w:szCs w:val="21"/>
        </w:rPr>
        <w:t xml:space="preserve"> (LMMs) were used to analyze </w:t>
      </w:r>
      <w:r>
        <w:rPr>
          <w:rStyle w:val="Strong"/>
          <w:rFonts w:ascii="Times New Roman" w:hAnsi="Times New Roman"/>
          <w:b w:val="0"/>
          <w:bCs w:val="0"/>
          <w:sz w:val="21"/>
          <w:szCs w:val="21"/>
        </w:rPr>
        <w:t>vital capacity</w:t>
      </w:r>
      <w:r>
        <w:rPr>
          <w:rFonts w:ascii="Times New Roman" w:hAnsi="Times New Roman"/>
          <w:sz w:val="21"/>
          <w:szCs w:val="21"/>
        </w:rPr>
        <w:t xml:space="preserve">, </w:t>
      </w:r>
      <w:r>
        <w:rPr>
          <w:rStyle w:val="Strong"/>
          <w:rFonts w:ascii="Times New Roman" w:hAnsi="Times New Roman"/>
          <w:b w:val="0"/>
          <w:bCs w:val="0"/>
          <w:sz w:val="21"/>
          <w:szCs w:val="21"/>
        </w:rPr>
        <w:t>standing long jump</w:t>
      </w:r>
      <w:r>
        <w:rPr>
          <w:rFonts w:ascii="Times New Roman" w:hAnsi="Times New Roman"/>
          <w:sz w:val="21"/>
          <w:szCs w:val="21"/>
        </w:rPr>
        <w:t xml:space="preserve">, and </w:t>
      </w:r>
      <w:r>
        <w:rPr>
          <w:rStyle w:val="Strong"/>
          <w:rFonts w:ascii="Times New Roman" w:hAnsi="Times New Roman"/>
          <w:b w:val="0"/>
          <w:bCs w:val="0"/>
          <w:sz w:val="21"/>
          <w:szCs w:val="21"/>
        </w:rPr>
        <w:t>sit-and-reach</w:t>
      </w:r>
      <w:r>
        <w:rPr>
          <w:rFonts w:ascii="Times New Roman" w:hAnsi="Times New Roman"/>
          <w:sz w:val="21"/>
          <w:szCs w:val="21"/>
        </w:rPr>
        <w:t xml:space="preserve"> [8][9][10]. Student-level random effects were specified with </w:t>
      </w:r>
      <w:r>
        <w:rPr>
          <w:rStyle w:val="Strong"/>
          <w:rFonts w:ascii="Times New Roman" w:hAnsi="Times New Roman"/>
          <w:b w:val="0"/>
          <w:bCs w:val="0"/>
          <w:sz w:val="21"/>
          <w:szCs w:val="21"/>
        </w:rPr>
        <w:t>rand</w:t>
      </w:r>
      <w:r>
        <w:rPr>
          <w:rStyle w:val="Strong"/>
          <w:rFonts w:ascii="Times New Roman" w:hAnsi="Times New Roman"/>
          <w:b w:val="0"/>
          <w:bCs w:val="0"/>
          <w:sz w:val="21"/>
          <w:szCs w:val="21"/>
        </w:rPr>
        <w:t>om intercepts</w:t>
      </w:r>
      <w:r>
        <w:rPr>
          <w:rFonts w:ascii="Times New Roman" w:hAnsi="Times New Roman"/>
          <w:sz w:val="21"/>
          <w:szCs w:val="21"/>
        </w:rPr>
        <w:t xml:space="preserve"> to account for inter-individual differences. The fixed effects included </w:t>
      </w:r>
      <w:r>
        <w:rPr>
          <w:rStyle w:val="Strong"/>
          <w:rFonts w:ascii="Times New Roman" w:hAnsi="Times New Roman"/>
          <w:b w:val="0"/>
          <w:bCs w:val="0"/>
          <w:sz w:val="21"/>
          <w:szCs w:val="21"/>
        </w:rPr>
        <w:t>academic year</w:t>
      </w:r>
      <w:r>
        <w:rPr>
          <w:rFonts w:ascii="Times New Roman" w:hAnsi="Times New Roman"/>
          <w:sz w:val="21"/>
          <w:szCs w:val="21"/>
        </w:rPr>
        <w:t xml:space="preserve"> (</w:t>
      </w:r>
      <w:proofErr w:type="spellStart"/>
      <w:r>
        <w:rPr>
          <w:rStyle w:val="Emphasis"/>
          <w:rFonts w:ascii="Times New Roman" w:hAnsi="Times New Roman"/>
          <w:sz w:val="21"/>
          <w:szCs w:val="21"/>
        </w:rPr>
        <w:t>grade_center</w:t>
      </w:r>
      <w:proofErr w:type="spellEnd"/>
      <w:r>
        <w:rPr>
          <w:rFonts w:ascii="Times New Roman" w:hAnsi="Times New Roman"/>
          <w:sz w:val="21"/>
          <w:szCs w:val="21"/>
        </w:rPr>
        <w:t xml:space="preserve">), </w:t>
      </w:r>
      <w:r>
        <w:rPr>
          <w:rStyle w:val="Strong"/>
          <w:rFonts w:ascii="Times New Roman" w:hAnsi="Times New Roman"/>
          <w:b w:val="0"/>
          <w:bCs w:val="0"/>
          <w:sz w:val="21"/>
          <w:szCs w:val="21"/>
        </w:rPr>
        <w:t>gender</w:t>
      </w:r>
      <w:r>
        <w:rPr>
          <w:rFonts w:ascii="Times New Roman" w:hAnsi="Times New Roman"/>
          <w:sz w:val="21"/>
          <w:szCs w:val="21"/>
        </w:rPr>
        <w:t xml:space="preserve">, the </w:t>
      </w:r>
      <w:r>
        <w:rPr>
          <w:rStyle w:val="Strong"/>
          <w:rFonts w:ascii="Times New Roman" w:hAnsi="Times New Roman"/>
          <w:b w:val="0"/>
          <w:bCs w:val="0"/>
          <w:sz w:val="21"/>
          <w:szCs w:val="21"/>
        </w:rPr>
        <w:t>academic year × gender interaction</w:t>
      </w:r>
      <w:r>
        <w:rPr>
          <w:rFonts w:ascii="Times New Roman" w:hAnsi="Times New Roman"/>
          <w:sz w:val="21"/>
          <w:szCs w:val="21"/>
        </w:rPr>
        <w:t xml:space="preserve">, and the covariates </w:t>
      </w:r>
      <w:r>
        <w:rPr>
          <w:rStyle w:val="Strong"/>
          <w:rFonts w:ascii="Times New Roman" w:hAnsi="Times New Roman"/>
          <w:b w:val="0"/>
          <w:bCs w:val="0"/>
          <w:sz w:val="21"/>
          <w:szCs w:val="21"/>
        </w:rPr>
        <w:t>year of enrollment</w:t>
      </w:r>
      <w:r>
        <w:rPr>
          <w:rFonts w:ascii="Times New Roman" w:hAnsi="Times New Roman"/>
          <w:sz w:val="21"/>
          <w:szCs w:val="21"/>
        </w:rPr>
        <w:t xml:space="preserve"> (</w:t>
      </w:r>
      <w:proofErr w:type="spellStart"/>
      <w:r>
        <w:rPr>
          <w:rStyle w:val="Emphasis"/>
          <w:rFonts w:ascii="Times New Roman" w:hAnsi="Times New Roman"/>
          <w:sz w:val="21"/>
          <w:szCs w:val="21"/>
        </w:rPr>
        <w:t>cohort_center</w:t>
      </w:r>
      <w:proofErr w:type="spellEnd"/>
      <w:r>
        <w:rPr>
          <w:rFonts w:ascii="Times New Roman" w:hAnsi="Times New Roman"/>
          <w:sz w:val="21"/>
          <w:szCs w:val="21"/>
        </w:rPr>
        <w:t xml:space="preserve">) and </w:t>
      </w:r>
      <w:r>
        <w:rPr>
          <w:rStyle w:val="Strong"/>
          <w:rFonts w:ascii="Times New Roman" w:hAnsi="Times New Roman"/>
          <w:b w:val="0"/>
          <w:bCs w:val="0"/>
          <w:sz w:val="21"/>
          <w:szCs w:val="21"/>
        </w:rPr>
        <w:t>years of suspension</w:t>
      </w:r>
      <w:r>
        <w:rPr>
          <w:rFonts w:ascii="Times New Roman" w:hAnsi="Times New Roman"/>
          <w:sz w:val="21"/>
          <w:szCs w:val="21"/>
        </w:rPr>
        <w:t xml:space="preserve"> (</w:t>
      </w:r>
      <w:proofErr w:type="spellStart"/>
      <w:r>
        <w:rPr>
          <w:rStyle w:val="Emphasis"/>
          <w:rFonts w:ascii="Times New Roman" w:hAnsi="Times New Roman"/>
          <w:sz w:val="21"/>
          <w:szCs w:val="21"/>
        </w:rPr>
        <w:t>gap_year</w:t>
      </w:r>
      <w:proofErr w:type="spellEnd"/>
      <w:r>
        <w:rPr>
          <w:rFonts w:ascii="Times New Roman" w:hAnsi="Times New Roman"/>
          <w:sz w:val="21"/>
          <w:szCs w:val="21"/>
        </w:rPr>
        <w:t>).</w:t>
      </w:r>
    </w:p>
    <w:p w14:paraId="362EB6DF"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lastRenderedPageBreak/>
        <w:t>To</w:t>
      </w:r>
      <w:r>
        <w:rPr>
          <w:rFonts w:ascii="Times New Roman" w:hAnsi="Times New Roman"/>
          <w:sz w:val="21"/>
          <w:szCs w:val="21"/>
        </w:rPr>
        <w:t xml:space="preserve"> test the necessity of including the interaction between academic year and gender, a baseline model without the interaction term and a model including the interaction term were constructed and compared using </w:t>
      </w:r>
      <w:r>
        <w:rPr>
          <w:rStyle w:val="Strong"/>
          <w:rFonts w:ascii="Times New Roman" w:hAnsi="Times New Roman"/>
          <w:b w:val="0"/>
          <w:bCs w:val="0"/>
          <w:sz w:val="21"/>
          <w:szCs w:val="21"/>
        </w:rPr>
        <w:t>maximum likelihood (ML)</w:t>
      </w:r>
      <w:r>
        <w:rPr>
          <w:rFonts w:ascii="Times New Roman" w:hAnsi="Times New Roman"/>
          <w:sz w:val="21"/>
          <w:szCs w:val="21"/>
        </w:rPr>
        <w:t xml:space="preserve"> estimation. Final parame</w:t>
      </w:r>
      <w:r>
        <w:rPr>
          <w:rFonts w:ascii="Times New Roman" w:hAnsi="Times New Roman"/>
          <w:sz w:val="21"/>
          <w:szCs w:val="21"/>
        </w:rPr>
        <w:t xml:space="preserve">ter estimates were then obtained using </w:t>
      </w:r>
      <w:r>
        <w:rPr>
          <w:rStyle w:val="Strong"/>
          <w:rFonts w:ascii="Times New Roman" w:hAnsi="Times New Roman"/>
          <w:b w:val="0"/>
          <w:bCs w:val="0"/>
          <w:sz w:val="21"/>
          <w:szCs w:val="21"/>
        </w:rPr>
        <w:t>restricted maximum likelihood (REML)</w:t>
      </w:r>
      <w:r>
        <w:rPr>
          <w:rFonts w:ascii="Times New Roman" w:hAnsi="Times New Roman"/>
          <w:sz w:val="21"/>
          <w:szCs w:val="21"/>
        </w:rPr>
        <w:t xml:space="preserve">. Model results were reported as </w:t>
      </w:r>
      <w:r>
        <w:rPr>
          <w:rStyle w:val="Strong"/>
          <w:rFonts w:ascii="Times New Roman" w:hAnsi="Times New Roman"/>
          <w:b w:val="0"/>
          <w:bCs w:val="0"/>
          <w:sz w:val="21"/>
          <w:szCs w:val="21"/>
        </w:rPr>
        <w:t>regression coefficients (β)</w:t>
      </w:r>
      <w:r>
        <w:rPr>
          <w:rFonts w:ascii="Times New Roman" w:hAnsi="Times New Roman"/>
          <w:sz w:val="21"/>
          <w:szCs w:val="21"/>
        </w:rPr>
        <w:t xml:space="preserve">, </w:t>
      </w:r>
      <w:r>
        <w:rPr>
          <w:rStyle w:val="Strong"/>
          <w:rFonts w:ascii="Times New Roman" w:hAnsi="Times New Roman"/>
          <w:b w:val="0"/>
          <w:bCs w:val="0"/>
          <w:sz w:val="21"/>
          <w:szCs w:val="21"/>
        </w:rPr>
        <w:t>standard errors (SE)</w:t>
      </w:r>
      <w:r>
        <w:rPr>
          <w:rFonts w:ascii="Times New Roman" w:hAnsi="Times New Roman"/>
          <w:sz w:val="21"/>
          <w:szCs w:val="21"/>
        </w:rPr>
        <w:t xml:space="preserve">, </w:t>
      </w:r>
      <w:r>
        <w:rPr>
          <w:rStyle w:val="Strong"/>
          <w:rFonts w:ascii="Times New Roman" w:hAnsi="Times New Roman"/>
          <w:b w:val="0"/>
          <w:bCs w:val="0"/>
          <w:sz w:val="21"/>
          <w:szCs w:val="21"/>
        </w:rPr>
        <w:t>z values</w:t>
      </w:r>
      <w:r>
        <w:rPr>
          <w:rFonts w:ascii="Times New Roman" w:hAnsi="Times New Roman"/>
          <w:sz w:val="21"/>
          <w:szCs w:val="21"/>
        </w:rPr>
        <w:t xml:space="preserve">, </w:t>
      </w:r>
      <w:r>
        <w:rPr>
          <w:rStyle w:val="Strong"/>
          <w:rFonts w:ascii="Times New Roman" w:hAnsi="Times New Roman"/>
          <w:b w:val="0"/>
          <w:bCs w:val="0"/>
          <w:sz w:val="21"/>
          <w:szCs w:val="21"/>
        </w:rPr>
        <w:t>P values</w:t>
      </w:r>
      <w:r>
        <w:rPr>
          <w:rFonts w:ascii="Times New Roman" w:hAnsi="Times New Roman"/>
          <w:sz w:val="21"/>
          <w:szCs w:val="21"/>
        </w:rPr>
        <w:t xml:space="preserve">, and </w:t>
      </w:r>
      <w:r>
        <w:rPr>
          <w:rStyle w:val="Strong"/>
          <w:rFonts w:ascii="Times New Roman" w:hAnsi="Times New Roman"/>
          <w:b w:val="0"/>
          <w:bCs w:val="0"/>
          <w:sz w:val="21"/>
          <w:szCs w:val="21"/>
        </w:rPr>
        <w:t>95% confidence intervals (95% CIs)</w:t>
      </w:r>
      <w:r>
        <w:rPr>
          <w:rFonts w:ascii="Times New Roman" w:hAnsi="Times New Roman"/>
          <w:sz w:val="21"/>
          <w:szCs w:val="21"/>
        </w:rPr>
        <w:t>.</w:t>
      </w:r>
    </w:p>
    <w:p w14:paraId="392A677F"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For the </w:t>
      </w:r>
      <w:r>
        <w:rPr>
          <w:rStyle w:val="Strong"/>
          <w:rFonts w:ascii="Times New Roman" w:hAnsi="Times New Roman"/>
          <w:b w:val="0"/>
          <w:bCs w:val="0"/>
          <w:sz w:val="21"/>
          <w:szCs w:val="21"/>
        </w:rPr>
        <w:t>50 m sprint</w:t>
      </w:r>
      <w:r>
        <w:rPr>
          <w:rFonts w:ascii="Times New Roman" w:hAnsi="Times New Roman"/>
          <w:sz w:val="21"/>
          <w:szCs w:val="21"/>
        </w:rPr>
        <w:t xml:space="preserve">, because the converted speed data still had a repeated-measures structure, </w:t>
      </w:r>
      <w:r>
        <w:rPr>
          <w:rStyle w:val="Strong"/>
          <w:rFonts w:ascii="Times New Roman" w:hAnsi="Times New Roman"/>
          <w:b w:val="0"/>
          <w:bCs w:val="0"/>
          <w:sz w:val="21"/>
          <w:szCs w:val="21"/>
        </w:rPr>
        <w:t>generalized estimating equations</w:t>
      </w:r>
      <w:r>
        <w:rPr>
          <w:rFonts w:ascii="Times New Roman" w:hAnsi="Times New Roman"/>
          <w:sz w:val="21"/>
          <w:szCs w:val="21"/>
        </w:rPr>
        <w:t xml:space="preserve"> (GEEs) were used for analysis [10][11]. Students were treated as the clustering unit, and an </w:t>
      </w:r>
      <w:r>
        <w:rPr>
          <w:rStyle w:val="Strong"/>
          <w:rFonts w:ascii="Times New Roman" w:hAnsi="Times New Roman"/>
          <w:b w:val="0"/>
          <w:bCs w:val="0"/>
          <w:sz w:val="21"/>
          <w:szCs w:val="21"/>
        </w:rPr>
        <w:t>exchangeable</w:t>
      </w:r>
      <w:r>
        <w:rPr>
          <w:rFonts w:ascii="Times New Roman" w:hAnsi="Times New Roman"/>
          <w:sz w:val="21"/>
          <w:szCs w:val="21"/>
        </w:rPr>
        <w:t xml:space="preserve"> working correlation structure was assumed</w:t>
      </w:r>
      <w:r>
        <w:rPr>
          <w:rFonts w:ascii="Times New Roman" w:hAnsi="Times New Roman"/>
          <w:sz w:val="21"/>
          <w:szCs w:val="21"/>
        </w:rPr>
        <w:t xml:space="preserve"> to obtain robust parameter estimates. To test the robustness of the findings, analyses were conducted both on the unfiltered sample and on the sample filtered by percentile thresholds, and the direction and significance of the main effects were compared a</w:t>
      </w:r>
      <w:r>
        <w:rPr>
          <w:rFonts w:ascii="Times New Roman" w:hAnsi="Times New Roman"/>
          <w:sz w:val="21"/>
          <w:szCs w:val="21"/>
        </w:rPr>
        <w:t>cross the two datasets.</w:t>
      </w:r>
    </w:p>
    <w:p w14:paraId="2AD14EDA"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All statistical analyses were performed in the </w:t>
      </w:r>
      <w:r>
        <w:rPr>
          <w:rStyle w:val="Strong"/>
          <w:rFonts w:ascii="Times New Roman" w:hAnsi="Times New Roman"/>
          <w:b w:val="0"/>
          <w:bCs w:val="0"/>
          <w:sz w:val="21"/>
          <w:szCs w:val="21"/>
        </w:rPr>
        <w:t>Python</w:t>
      </w:r>
      <w:r>
        <w:rPr>
          <w:rFonts w:ascii="Times New Roman" w:hAnsi="Times New Roman"/>
          <w:sz w:val="21"/>
          <w:szCs w:val="21"/>
        </w:rPr>
        <w:t xml:space="preserve"> statistical environment, mainly using the </w:t>
      </w:r>
      <w:proofErr w:type="spellStart"/>
      <w:r>
        <w:rPr>
          <w:rStyle w:val="Strong"/>
          <w:rFonts w:ascii="Times New Roman" w:hAnsi="Times New Roman"/>
          <w:b w:val="0"/>
          <w:bCs w:val="0"/>
          <w:sz w:val="21"/>
          <w:szCs w:val="21"/>
        </w:rPr>
        <w:t>statsmodels</w:t>
      </w:r>
      <w:proofErr w:type="spellEnd"/>
      <w:r>
        <w:rPr>
          <w:rFonts w:ascii="Times New Roman" w:hAnsi="Times New Roman"/>
          <w:sz w:val="21"/>
          <w:szCs w:val="21"/>
        </w:rPr>
        <w:t xml:space="preserve"> package. All significance tests were </w:t>
      </w:r>
      <w:r>
        <w:rPr>
          <w:rStyle w:val="Strong"/>
          <w:rFonts w:ascii="Times New Roman" w:hAnsi="Times New Roman"/>
          <w:b w:val="0"/>
          <w:bCs w:val="0"/>
          <w:sz w:val="21"/>
          <w:szCs w:val="21"/>
        </w:rPr>
        <w:t>two-sided</w:t>
      </w:r>
      <w:r>
        <w:rPr>
          <w:rFonts w:ascii="Times New Roman" w:hAnsi="Times New Roman"/>
          <w:sz w:val="21"/>
          <w:szCs w:val="21"/>
        </w:rPr>
        <w:t xml:space="preserve">, and the level of statistical significance was set at </w:t>
      </w:r>
      <w:r>
        <w:rPr>
          <w:rStyle w:val="Strong"/>
          <w:rFonts w:ascii="Times New Roman" w:hAnsi="Times New Roman"/>
          <w:b w:val="0"/>
          <w:bCs w:val="0"/>
          <w:sz w:val="21"/>
          <w:szCs w:val="21"/>
        </w:rPr>
        <w:t>P &lt; 0.05</w:t>
      </w:r>
      <w:r>
        <w:rPr>
          <w:rFonts w:ascii="Times New Roman" w:hAnsi="Times New Roman"/>
          <w:sz w:val="21"/>
          <w:szCs w:val="21"/>
        </w:rPr>
        <w:t>. Linear mixed-</w:t>
      </w:r>
      <w:r>
        <w:rPr>
          <w:rFonts w:ascii="Times New Roman" w:hAnsi="Times New Roman"/>
          <w:sz w:val="21"/>
          <w:szCs w:val="21"/>
        </w:rPr>
        <w:t>effects models and generalized estimating equations are classical methods for handling repeated-measures data in longitudinal analyses, and their theoretical foundations and inferential frameworks have been systematically described in the methodological li</w:t>
      </w:r>
      <w:r>
        <w:rPr>
          <w:rFonts w:ascii="Times New Roman" w:hAnsi="Times New Roman"/>
          <w:sz w:val="21"/>
          <w:szCs w:val="21"/>
        </w:rPr>
        <w:t>terature.</w:t>
      </w:r>
    </w:p>
    <w:p w14:paraId="3ACAC142" w14:textId="77777777" w:rsidR="00FF356B" w:rsidRDefault="00093ABF">
      <w:pPr>
        <w:pStyle w:val="Heading2"/>
        <w:keepNext w:val="0"/>
        <w:keepLines w:val="0"/>
        <w:widowControl/>
        <w:spacing w:line="360" w:lineRule="auto"/>
        <w:rPr>
          <w:rFonts w:ascii="Times New Roman" w:hAnsi="Times New Roman" w:cs="Times New Roman"/>
          <w:color w:val="auto"/>
          <w:sz w:val="21"/>
          <w:szCs w:val="21"/>
        </w:rPr>
      </w:pPr>
      <w:r>
        <w:rPr>
          <w:rFonts w:ascii="Times New Roman" w:hAnsi="Times New Roman" w:cs="Times New Roman"/>
          <w:color w:val="auto"/>
          <w:sz w:val="21"/>
          <w:szCs w:val="21"/>
        </w:rPr>
        <w:t>3 Results</w:t>
      </w:r>
    </w:p>
    <w:p w14:paraId="0F64E66F"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3.1 Effects of Academic Year, Gender, and Their Interaction on Vital Capacity</w:t>
      </w:r>
    </w:p>
    <w:p w14:paraId="2CE8E18E"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The results of the </w:t>
      </w:r>
      <w:r>
        <w:rPr>
          <w:rStyle w:val="Strong"/>
          <w:rFonts w:ascii="Times New Roman" w:hAnsi="Times New Roman"/>
          <w:b w:val="0"/>
          <w:bCs w:val="0"/>
          <w:sz w:val="21"/>
          <w:szCs w:val="21"/>
        </w:rPr>
        <w:t>linear mixed-effects model</w:t>
      </w:r>
      <w:r>
        <w:rPr>
          <w:rFonts w:ascii="Times New Roman" w:hAnsi="Times New Roman"/>
          <w:sz w:val="21"/>
          <w:szCs w:val="21"/>
        </w:rPr>
        <w:t xml:space="preserve"> showed that academic year had a significant positive effect on </w:t>
      </w:r>
      <w:r>
        <w:rPr>
          <w:rStyle w:val="Strong"/>
          <w:rFonts w:ascii="Times New Roman" w:hAnsi="Times New Roman"/>
          <w:b w:val="0"/>
          <w:bCs w:val="0"/>
          <w:sz w:val="21"/>
          <w:szCs w:val="21"/>
        </w:rPr>
        <w:t>vital capacity</w:t>
      </w:r>
      <w:r>
        <w:rPr>
          <w:rFonts w:ascii="Times New Roman" w:hAnsi="Times New Roman"/>
          <w:sz w:val="21"/>
          <w:szCs w:val="21"/>
        </w:rPr>
        <w:t xml:space="preserve"> among undergraduate students (</w:t>
      </w:r>
      <w:r>
        <w:rPr>
          <w:rStyle w:val="Strong"/>
          <w:rFonts w:ascii="Times New Roman" w:hAnsi="Times New Roman"/>
          <w:b w:val="0"/>
          <w:bCs w:val="0"/>
          <w:sz w:val="21"/>
          <w:szCs w:val="21"/>
        </w:rPr>
        <w:t xml:space="preserve">β = </w:t>
      </w:r>
      <w:r>
        <w:rPr>
          <w:rStyle w:val="Strong"/>
          <w:rFonts w:ascii="Times New Roman" w:hAnsi="Times New Roman"/>
          <w:b w:val="0"/>
          <w:bCs w:val="0"/>
          <w:sz w:val="21"/>
          <w:szCs w:val="21"/>
        </w:rPr>
        <w:t>27.86, P &lt; 0.001</w:t>
      </w:r>
      <w:r>
        <w:rPr>
          <w:rFonts w:ascii="Times New Roman" w:hAnsi="Times New Roman"/>
          <w:sz w:val="21"/>
          <w:szCs w:val="21"/>
        </w:rPr>
        <w:t xml:space="preserve">), indicating that students’ vital capacity generally increased with advancing academic year. The main effect of </w:t>
      </w:r>
      <w:r>
        <w:rPr>
          <w:rStyle w:val="Strong"/>
          <w:rFonts w:ascii="Times New Roman" w:hAnsi="Times New Roman"/>
          <w:b w:val="0"/>
          <w:bCs w:val="0"/>
          <w:sz w:val="21"/>
          <w:szCs w:val="21"/>
        </w:rPr>
        <w:t>gender</w:t>
      </w:r>
      <w:r>
        <w:rPr>
          <w:rFonts w:ascii="Times New Roman" w:hAnsi="Times New Roman"/>
          <w:sz w:val="21"/>
          <w:szCs w:val="21"/>
        </w:rPr>
        <w:t xml:space="preserve"> was also significant (</w:t>
      </w:r>
      <w:r>
        <w:rPr>
          <w:rStyle w:val="Strong"/>
          <w:rFonts w:ascii="Times New Roman" w:hAnsi="Times New Roman"/>
          <w:b w:val="0"/>
          <w:bCs w:val="0"/>
          <w:sz w:val="21"/>
          <w:szCs w:val="21"/>
        </w:rPr>
        <w:t>β = −1323.25, P &lt; 0.001</w:t>
      </w:r>
      <w:r>
        <w:rPr>
          <w:rFonts w:ascii="Times New Roman" w:hAnsi="Times New Roman"/>
          <w:sz w:val="21"/>
          <w:szCs w:val="21"/>
        </w:rPr>
        <w:t>), suggesting that male students had significantly higher vital capacity th</w:t>
      </w:r>
      <w:r>
        <w:rPr>
          <w:rFonts w:ascii="Times New Roman" w:hAnsi="Times New Roman"/>
          <w:sz w:val="21"/>
          <w:szCs w:val="21"/>
        </w:rPr>
        <w:t>an female students.</w:t>
      </w:r>
    </w:p>
    <w:p w14:paraId="7D21C505"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The </w:t>
      </w:r>
      <w:r>
        <w:rPr>
          <w:rStyle w:val="Strong"/>
          <w:rFonts w:ascii="Times New Roman" w:hAnsi="Times New Roman"/>
          <w:b w:val="0"/>
          <w:bCs w:val="0"/>
          <w:sz w:val="21"/>
          <w:szCs w:val="21"/>
        </w:rPr>
        <w:t>academic year × gender</w:t>
      </w:r>
      <w:r>
        <w:rPr>
          <w:rFonts w:ascii="Times New Roman" w:hAnsi="Times New Roman"/>
          <w:sz w:val="21"/>
          <w:szCs w:val="21"/>
        </w:rPr>
        <w:t xml:space="preserve"> interaction was statistically significant (</w:t>
      </w:r>
      <w:r>
        <w:rPr>
          <w:rStyle w:val="Strong"/>
          <w:rFonts w:ascii="Times New Roman" w:hAnsi="Times New Roman"/>
          <w:b w:val="0"/>
          <w:bCs w:val="0"/>
          <w:sz w:val="21"/>
          <w:szCs w:val="21"/>
        </w:rPr>
        <w:t>β = −11.85, P = 0.008</w:t>
      </w:r>
      <w:r>
        <w:rPr>
          <w:rFonts w:ascii="Times New Roman" w:hAnsi="Times New Roman"/>
          <w:sz w:val="21"/>
          <w:szCs w:val="21"/>
        </w:rPr>
        <w:t xml:space="preserve">), indicating that the pattern of change in vital capacity across academic years differed by gender. </w:t>
      </w:r>
      <w:r>
        <w:rPr>
          <w:rFonts w:ascii="Times New Roman" w:hAnsi="Times New Roman"/>
          <w:sz w:val="21"/>
          <w:szCs w:val="21"/>
        </w:rPr>
        <w:lastRenderedPageBreak/>
        <w:t>Further analysis showed that the increase in</w:t>
      </w:r>
      <w:r>
        <w:rPr>
          <w:rFonts w:ascii="Times New Roman" w:hAnsi="Times New Roman"/>
          <w:sz w:val="21"/>
          <w:szCs w:val="21"/>
        </w:rPr>
        <w:t xml:space="preserve"> vital capacity with academic year was greater in male students than in female students, implying that the </w:t>
      </w:r>
      <w:r>
        <w:rPr>
          <w:rStyle w:val="Strong"/>
          <w:rFonts w:ascii="Times New Roman" w:hAnsi="Times New Roman"/>
          <w:b w:val="0"/>
          <w:bCs w:val="0"/>
          <w:sz w:val="21"/>
          <w:szCs w:val="21"/>
        </w:rPr>
        <w:t>academic-year gain</w:t>
      </w:r>
      <w:r>
        <w:rPr>
          <w:rFonts w:ascii="Times New Roman" w:hAnsi="Times New Roman"/>
          <w:sz w:val="21"/>
          <w:szCs w:val="21"/>
        </w:rPr>
        <w:t xml:space="preserve"> in vital capacity during the undergraduate period was relatively limited among female students.</w:t>
      </w:r>
    </w:p>
    <w:p w14:paraId="1390591D"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After controlling for </w:t>
      </w:r>
      <w:r>
        <w:rPr>
          <w:rStyle w:val="Strong"/>
          <w:rFonts w:ascii="Times New Roman" w:hAnsi="Times New Roman"/>
          <w:b w:val="0"/>
          <w:bCs w:val="0"/>
          <w:sz w:val="21"/>
          <w:szCs w:val="21"/>
        </w:rPr>
        <w:t>year of enro</w:t>
      </w:r>
      <w:r>
        <w:rPr>
          <w:rStyle w:val="Strong"/>
          <w:rFonts w:ascii="Times New Roman" w:hAnsi="Times New Roman"/>
          <w:b w:val="0"/>
          <w:bCs w:val="0"/>
          <w:sz w:val="21"/>
          <w:szCs w:val="21"/>
        </w:rPr>
        <w:t>llment</w:t>
      </w:r>
      <w:r>
        <w:rPr>
          <w:rFonts w:ascii="Times New Roman" w:hAnsi="Times New Roman"/>
          <w:sz w:val="21"/>
          <w:szCs w:val="21"/>
        </w:rPr>
        <w:t xml:space="preserve"> and </w:t>
      </w:r>
      <w:r>
        <w:rPr>
          <w:rStyle w:val="Strong"/>
          <w:rFonts w:ascii="Times New Roman" w:hAnsi="Times New Roman"/>
          <w:b w:val="0"/>
          <w:bCs w:val="0"/>
          <w:sz w:val="21"/>
          <w:szCs w:val="21"/>
        </w:rPr>
        <w:t>years of suspension</w:t>
      </w:r>
      <w:r>
        <w:rPr>
          <w:rFonts w:ascii="Times New Roman" w:hAnsi="Times New Roman"/>
          <w:sz w:val="21"/>
          <w:szCs w:val="21"/>
        </w:rPr>
        <w:t>, the above results remained stable. Year of enrollment had a significant negative effect on vital capacity (</w:t>
      </w:r>
      <w:r>
        <w:rPr>
          <w:rStyle w:val="Strong"/>
          <w:rFonts w:ascii="Times New Roman" w:hAnsi="Times New Roman"/>
          <w:b w:val="0"/>
          <w:bCs w:val="0"/>
          <w:sz w:val="21"/>
          <w:szCs w:val="21"/>
        </w:rPr>
        <w:t>β = −41.63, P &lt; 0.001</w:t>
      </w:r>
      <w:r>
        <w:rPr>
          <w:rFonts w:ascii="Times New Roman" w:hAnsi="Times New Roman"/>
          <w:sz w:val="21"/>
          <w:szCs w:val="21"/>
        </w:rPr>
        <w:t>), and the effect of years of suspension was also statistically significant (</w:t>
      </w:r>
      <w:r>
        <w:rPr>
          <w:rStyle w:val="Strong"/>
          <w:rFonts w:ascii="Times New Roman" w:hAnsi="Times New Roman"/>
          <w:b w:val="0"/>
          <w:bCs w:val="0"/>
          <w:sz w:val="21"/>
          <w:szCs w:val="21"/>
        </w:rPr>
        <w:t>β = −152.40, P &lt; 0.</w:t>
      </w:r>
      <w:r>
        <w:rPr>
          <w:rStyle w:val="Strong"/>
          <w:rFonts w:ascii="Times New Roman" w:hAnsi="Times New Roman"/>
          <w:b w:val="0"/>
          <w:bCs w:val="0"/>
          <w:sz w:val="21"/>
          <w:szCs w:val="21"/>
        </w:rPr>
        <w:t>01</w:t>
      </w:r>
      <w:r>
        <w:rPr>
          <w:rFonts w:ascii="Times New Roman" w:hAnsi="Times New Roman"/>
          <w:sz w:val="21"/>
          <w:szCs w:val="21"/>
        </w:rPr>
        <w:t xml:space="preserve">). The detailed parameter estimates of the model are presented in </w:t>
      </w:r>
      <w:r>
        <w:rPr>
          <w:rStyle w:val="Strong"/>
          <w:rFonts w:ascii="Times New Roman" w:hAnsi="Times New Roman"/>
          <w:b w:val="0"/>
          <w:bCs w:val="0"/>
          <w:sz w:val="21"/>
          <w:szCs w:val="21"/>
        </w:rPr>
        <w:t>Table 1</w:t>
      </w:r>
      <w:r>
        <w:rPr>
          <w:rFonts w:ascii="Times New Roman" w:hAnsi="Times New Roman"/>
          <w:sz w:val="21"/>
          <w:szCs w:val="21"/>
        </w:rPr>
        <w:t xml:space="preserve">. The predicted means of vital capacity and their </w:t>
      </w:r>
      <w:r>
        <w:rPr>
          <w:rStyle w:val="Strong"/>
          <w:rFonts w:ascii="Times New Roman" w:hAnsi="Times New Roman"/>
          <w:b w:val="0"/>
          <w:bCs w:val="0"/>
          <w:sz w:val="21"/>
          <w:szCs w:val="21"/>
        </w:rPr>
        <w:t>95% confidence intervals</w:t>
      </w:r>
      <w:r>
        <w:rPr>
          <w:rFonts w:ascii="Times New Roman" w:hAnsi="Times New Roman"/>
          <w:sz w:val="21"/>
          <w:szCs w:val="21"/>
        </w:rPr>
        <w:t xml:space="preserve"> across academic years and gender groups are shown in </w:t>
      </w:r>
      <w:r>
        <w:rPr>
          <w:rStyle w:val="Strong"/>
          <w:rFonts w:ascii="Times New Roman" w:hAnsi="Times New Roman"/>
          <w:b w:val="0"/>
          <w:bCs w:val="0"/>
          <w:sz w:val="21"/>
          <w:szCs w:val="21"/>
        </w:rPr>
        <w:t>Figure 1</w:t>
      </w:r>
      <w:r>
        <w:rPr>
          <w:rFonts w:ascii="Times New Roman" w:hAnsi="Times New Roman"/>
          <w:sz w:val="21"/>
          <w:szCs w:val="21"/>
        </w:rPr>
        <w:t>.</w:t>
      </w:r>
    </w:p>
    <w:p w14:paraId="23B77099" w14:textId="77777777" w:rsidR="00FF356B" w:rsidRDefault="00093ABF">
      <w:pPr>
        <w:pStyle w:val="NormalWeb"/>
        <w:widowControl/>
        <w:spacing w:line="360" w:lineRule="auto"/>
        <w:jc w:val="center"/>
        <w:rPr>
          <w:rFonts w:ascii="Times New Roman" w:hAnsi="Times New Roman"/>
          <w:i/>
          <w:iCs/>
          <w:sz w:val="21"/>
          <w:szCs w:val="21"/>
        </w:rPr>
      </w:pPr>
      <w:r>
        <w:rPr>
          <w:rStyle w:val="Strong"/>
          <w:rFonts w:ascii="Times New Roman" w:hAnsi="Times New Roman"/>
          <w:b w:val="0"/>
          <w:bCs w:val="0"/>
          <w:i/>
          <w:iCs/>
          <w:sz w:val="21"/>
          <w:szCs w:val="21"/>
        </w:rPr>
        <w:t xml:space="preserve">Table 1. Results of the Linear </w:t>
      </w:r>
      <w:r>
        <w:rPr>
          <w:rStyle w:val="Strong"/>
          <w:rFonts w:ascii="Times New Roman" w:hAnsi="Times New Roman"/>
          <w:b w:val="0"/>
          <w:bCs w:val="0"/>
          <w:i/>
          <w:iCs/>
          <w:sz w:val="21"/>
          <w:szCs w:val="21"/>
        </w:rPr>
        <w:t>Mixed-Effects Model (REML) for Vital Capacity in Relation to Academic Year, Gender, and Their Interaction</w:t>
      </w:r>
    </w:p>
    <w:tbl>
      <w:tblPr>
        <w:tblW w:w="9861" w:type="dxa"/>
        <w:jc w:val="center"/>
        <w:tblBorders>
          <w:top w:val="single" w:sz="12" w:space="0" w:color="auto"/>
          <w:bottom w:val="single" w:sz="12" w:space="0" w:color="auto"/>
        </w:tblBorders>
        <w:tblLook w:val="04A0" w:firstRow="1" w:lastRow="0" w:firstColumn="1" w:lastColumn="0" w:noHBand="0" w:noVBand="1"/>
      </w:tblPr>
      <w:tblGrid>
        <w:gridCol w:w="2145"/>
        <w:gridCol w:w="1392"/>
        <w:gridCol w:w="1711"/>
        <w:gridCol w:w="1074"/>
        <w:gridCol w:w="966"/>
        <w:gridCol w:w="2573"/>
      </w:tblGrid>
      <w:tr w:rsidR="00FF356B" w14:paraId="58278FA8" w14:textId="77777777">
        <w:trPr>
          <w:tblHeader/>
          <w:jc w:val="center"/>
        </w:trPr>
        <w:tc>
          <w:tcPr>
            <w:tcW w:w="2145" w:type="dxa"/>
            <w:tcBorders>
              <w:bottom w:val="single" w:sz="10" w:space="0" w:color="auto"/>
            </w:tcBorders>
            <w:vAlign w:val="center"/>
          </w:tcPr>
          <w:p w14:paraId="4F6766D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Variables</w:t>
            </w:r>
          </w:p>
        </w:tc>
        <w:tc>
          <w:tcPr>
            <w:tcW w:w="1392" w:type="dxa"/>
            <w:tcBorders>
              <w:bottom w:val="single" w:sz="10" w:space="0" w:color="auto"/>
            </w:tcBorders>
            <w:vAlign w:val="center"/>
          </w:tcPr>
          <w:p w14:paraId="4CE1F87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β (Coef.)</w:t>
            </w:r>
          </w:p>
        </w:tc>
        <w:tc>
          <w:tcPr>
            <w:tcW w:w="1711" w:type="dxa"/>
            <w:tcBorders>
              <w:bottom w:val="single" w:sz="10" w:space="0" w:color="auto"/>
            </w:tcBorders>
            <w:vAlign w:val="center"/>
          </w:tcPr>
          <w:p w14:paraId="1406A2D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SE (</w:t>
            </w:r>
            <w:proofErr w:type="spellStart"/>
            <w:r>
              <w:rPr>
                <w:rFonts w:ascii="Times New Roman" w:eastAsia="SimSun" w:hAnsi="Times New Roman" w:cs="Times New Roman"/>
                <w:szCs w:val="21"/>
              </w:rPr>
              <w:t>Std.Err</w:t>
            </w:r>
            <w:proofErr w:type="spellEnd"/>
            <w:r>
              <w:rPr>
                <w:rFonts w:ascii="Times New Roman" w:eastAsia="SimSun" w:hAnsi="Times New Roman" w:cs="Times New Roman"/>
                <w:szCs w:val="21"/>
              </w:rPr>
              <w:t>.)</w:t>
            </w:r>
          </w:p>
        </w:tc>
        <w:tc>
          <w:tcPr>
            <w:tcW w:w="1074" w:type="dxa"/>
            <w:tcBorders>
              <w:bottom w:val="single" w:sz="10" w:space="0" w:color="auto"/>
            </w:tcBorders>
            <w:vAlign w:val="center"/>
          </w:tcPr>
          <w:p w14:paraId="5DA1B3E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z</w:t>
            </w:r>
          </w:p>
        </w:tc>
        <w:tc>
          <w:tcPr>
            <w:tcW w:w="966" w:type="dxa"/>
            <w:tcBorders>
              <w:bottom w:val="single" w:sz="10" w:space="0" w:color="auto"/>
            </w:tcBorders>
            <w:vAlign w:val="center"/>
          </w:tcPr>
          <w:p w14:paraId="1F7F5553"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p</w:t>
            </w:r>
          </w:p>
        </w:tc>
        <w:tc>
          <w:tcPr>
            <w:tcW w:w="2573" w:type="dxa"/>
            <w:tcBorders>
              <w:bottom w:val="single" w:sz="10" w:space="0" w:color="auto"/>
            </w:tcBorders>
            <w:vAlign w:val="center"/>
          </w:tcPr>
          <w:p w14:paraId="72F911A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95%CI</w:t>
            </w:r>
          </w:p>
        </w:tc>
      </w:tr>
      <w:tr w:rsidR="00FF356B" w14:paraId="7B47A585" w14:textId="77777777">
        <w:trPr>
          <w:jc w:val="center"/>
        </w:trPr>
        <w:tc>
          <w:tcPr>
            <w:tcW w:w="2145" w:type="dxa"/>
            <w:vAlign w:val="center"/>
          </w:tcPr>
          <w:p w14:paraId="00BF0543"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Intercept</w:t>
            </w:r>
          </w:p>
        </w:tc>
        <w:tc>
          <w:tcPr>
            <w:tcW w:w="1392" w:type="dxa"/>
            <w:vAlign w:val="center"/>
          </w:tcPr>
          <w:p w14:paraId="3B399E0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88355.441</w:t>
            </w:r>
          </w:p>
        </w:tc>
        <w:tc>
          <w:tcPr>
            <w:tcW w:w="1711" w:type="dxa"/>
            <w:vAlign w:val="center"/>
          </w:tcPr>
          <w:p w14:paraId="2C703F5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2175.183</w:t>
            </w:r>
          </w:p>
        </w:tc>
        <w:tc>
          <w:tcPr>
            <w:tcW w:w="1074" w:type="dxa"/>
            <w:vAlign w:val="center"/>
          </w:tcPr>
          <w:p w14:paraId="693AFF3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40.620</w:t>
            </w:r>
          </w:p>
        </w:tc>
        <w:tc>
          <w:tcPr>
            <w:tcW w:w="966" w:type="dxa"/>
            <w:vAlign w:val="center"/>
          </w:tcPr>
          <w:p w14:paraId="175EB30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573" w:type="dxa"/>
            <w:vAlign w:val="center"/>
          </w:tcPr>
          <w:p w14:paraId="27080F8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[84092.160, 92618.721]</w:t>
            </w:r>
          </w:p>
        </w:tc>
      </w:tr>
      <w:tr w:rsidR="00FF356B" w14:paraId="7C3CB327" w14:textId="77777777">
        <w:trPr>
          <w:jc w:val="center"/>
        </w:trPr>
        <w:tc>
          <w:tcPr>
            <w:tcW w:w="2145" w:type="dxa"/>
            <w:vAlign w:val="center"/>
          </w:tcPr>
          <w:p w14:paraId="06A5E17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Grade (centered)</w:t>
            </w:r>
          </w:p>
        </w:tc>
        <w:tc>
          <w:tcPr>
            <w:tcW w:w="1392" w:type="dxa"/>
            <w:vAlign w:val="center"/>
          </w:tcPr>
          <w:p w14:paraId="24C77FB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27.856</w:t>
            </w:r>
          </w:p>
        </w:tc>
        <w:tc>
          <w:tcPr>
            <w:tcW w:w="1711" w:type="dxa"/>
            <w:vAlign w:val="center"/>
          </w:tcPr>
          <w:p w14:paraId="147ADE55"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1.805</w:t>
            </w:r>
          </w:p>
        </w:tc>
        <w:tc>
          <w:tcPr>
            <w:tcW w:w="1074" w:type="dxa"/>
            <w:vAlign w:val="center"/>
          </w:tcPr>
          <w:p w14:paraId="48B0105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15.435</w:t>
            </w:r>
          </w:p>
        </w:tc>
        <w:tc>
          <w:tcPr>
            <w:tcW w:w="966" w:type="dxa"/>
            <w:vAlign w:val="center"/>
          </w:tcPr>
          <w:p w14:paraId="25707D1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573" w:type="dxa"/>
            <w:vAlign w:val="center"/>
          </w:tcPr>
          <w:p w14:paraId="677B321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[24.319, 31.393]</w:t>
            </w:r>
          </w:p>
        </w:tc>
      </w:tr>
      <w:tr w:rsidR="00FF356B" w14:paraId="30E9C1E0" w14:textId="77777777">
        <w:trPr>
          <w:jc w:val="center"/>
        </w:trPr>
        <w:tc>
          <w:tcPr>
            <w:tcW w:w="2145" w:type="dxa"/>
            <w:vAlign w:val="center"/>
          </w:tcPr>
          <w:p w14:paraId="3FB1DE7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Sex (Female=1)</w:t>
            </w:r>
          </w:p>
        </w:tc>
        <w:tc>
          <w:tcPr>
            <w:tcW w:w="1392" w:type="dxa"/>
            <w:vAlign w:val="center"/>
          </w:tcPr>
          <w:p w14:paraId="25B092D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-1323.245</w:t>
            </w:r>
          </w:p>
        </w:tc>
        <w:tc>
          <w:tcPr>
            <w:tcW w:w="1711" w:type="dxa"/>
            <w:vAlign w:val="center"/>
          </w:tcPr>
          <w:p w14:paraId="01FCFAA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12.591</w:t>
            </w:r>
          </w:p>
        </w:tc>
        <w:tc>
          <w:tcPr>
            <w:tcW w:w="1074" w:type="dxa"/>
            <w:vAlign w:val="center"/>
          </w:tcPr>
          <w:p w14:paraId="612877E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-105.097</w:t>
            </w:r>
          </w:p>
        </w:tc>
        <w:tc>
          <w:tcPr>
            <w:tcW w:w="966" w:type="dxa"/>
            <w:vAlign w:val="center"/>
          </w:tcPr>
          <w:p w14:paraId="688D1C0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573" w:type="dxa"/>
            <w:vAlign w:val="center"/>
          </w:tcPr>
          <w:p w14:paraId="08794F7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[-1347.923, -1298.568]</w:t>
            </w:r>
          </w:p>
        </w:tc>
      </w:tr>
      <w:tr w:rsidR="00FF356B" w14:paraId="3B83994A" w14:textId="77777777">
        <w:trPr>
          <w:jc w:val="center"/>
        </w:trPr>
        <w:tc>
          <w:tcPr>
            <w:tcW w:w="2145" w:type="dxa"/>
            <w:vAlign w:val="center"/>
          </w:tcPr>
          <w:p w14:paraId="12BF72B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Grade × Sex</w:t>
            </w:r>
          </w:p>
        </w:tc>
        <w:tc>
          <w:tcPr>
            <w:tcW w:w="1392" w:type="dxa"/>
            <w:vAlign w:val="center"/>
          </w:tcPr>
          <w:p w14:paraId="55A07CC5"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-11.854</w:t>
            </w:r>
          </w:p>
        </w:tc>
        <w:tc>
          <w:tcPr>
            <w:tcW w:w="1711" w:type="dxa"/>
            <w:vAlign w:val="center"/>
          </w:tcPr>
          <w:p w14:paraId="08DF647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4.448</w:t>
            </w:r>
          </w:p>
        </w:tc>
        <w:tc>
          <w:tcPr>
            <w:tcW w:w="1074" w:type="dxa"/>
            <w:vAlign w:val="center"/>
          </w:tcPr>
          <w:p w14:paraId="7D1CF27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-2.665</w:t>
            </w:r>
          </w:p>
        </w:tc>
        <w:tc>
          <w:tcPr>
            <w:tcW w:w="966" w:type="dxa"/>
            <w:vAlign w:val="center"/>
          </w:tcPr>
          <w:p w14:paraId="5A8F31B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0.008</w:t>
            </w:r>
          </w:p>
        </w:tc>
        <w:tc>
          <w:tcPr>
            <w:tcW w:w="2573" w:type="dxa"/>
            <w:vAlign w:val="center"/>
          </w:tcPr>
          <w:p w14:paraId="427271C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[-20.572, -3.136]</w:t>
            </w:r>
          </w:p>
        </w:tc>
      </w:tr>
      <w:tr w:rsidR="00FF356B" w14:paraId="47D9C6E0" w14:textId="77777777">
        <w:trPr>
          <w:jc w:val="center"/>
        </w:trPr>
        <w:tc>
          <w:tcPr>
            <w:tcW w:w="2145" w:type="dxa"/>
            <w:vAlign w:val="center"/>
          </w:tcPr>
          <w:p w14:paraId="429C75F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Enrollment Year</w:t>
            </w:r>
          </w:p>
        </w:tc>
        <w:tc>
          <w:tcPr>
            <w:tcW w:w="1392" w:type="dxa"/>
            <w:vAlign w:val="center"/>
          </w:tcPr>
          <w:p w14:paraId="0767370B"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-41.625</w:t>
            </w:r>
          </w:p>
        </w:tc>
        <w:tc>
          <w:tcPr>
            <w:tcW w:w="1711" w:type="dxa"/>
            <w:vAlign w:val="center"/>
          </w:tcPr>
          <w:p w14:paraId="1DB7431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1.078</w:t>
            </w:r>
          </w:p>
        </w:tc>
        <w:tc>
          <w:tcPr>
            <w:tcW w:w="1074" w:type="dxa"/>
            <w:vAlign w:val="center"/>
          </w:tcPr>
          <w:p w14:paraId="1A9595A3"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-38.618</w:t>
            </w:r>
          </w:p>
        </w:tc>
        <w:tc>
          <w:tcPr>
            <w:tcW w:w="966" w:type="dxa"/>
            <w:vAlign w:val="center"/>
          </w:tcPr>
          <w:p w14:paraId="779A3E3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573" w:type="dxa"/>
            <w:vAlign w:val="center"/>
          </w:tcPr>
          <w:p w14:paraId="7352BAEB"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[-43.737, -39.512]</w:t>
            </w:r>
          </w:p>
        </w:tc>
      </w:tr>
      <w:tr w:rsidR="00FF356B" w14:paraId="3562828A" w14:textId="77777777">
        <w:trPr>
          <w:jc w:val="center"/>
        </w:trPr>
        <w:tc>
          <w:tcPr>
            <w:tcW w:w="2145" w:type="dxa"/>
            <w:vAlign w:val="center"/>
          </w:tcPr>
          <w:p w14:paraId="08AF62C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Years of Suspension</w:t>
            </w:r>
          </w:p>
        </w:tc>
        <w:tc>
          <w:tcPr>
            <w:tcW w:w="1392" w:type="dxa"/>
            <w:vAlign w:val="center"/>
          </w:tcPr>
          <w:p w14:paraId="4B6E541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-152.404</w:t>
            </w:r>
          </w:p>
        </w:tc>
        <w:tc>
          <w:tcPr>
            <w:tcW w:w="1711" w:type="dxa"/>
            <w:vAlign w:val="center"/>
          </w:tcPr>
          <w:p w14:paraId="629D260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39.279</w:t>
            </w:r>
          </w:p>
        </w:tc>
        <w:tc>
          <w:tcPr>
            <w:tcW w:w="1074" w:type="dxa"/>
            <w:vAlign w:val="center"/>
          </w:tcPr>
          <w:p w14:paraId="41CA0BA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-3.880</w:t>
            </w:r>
          </w:p>
        </w:tc>
        <w:tc>
          <w:tcPr>
            <w:tcW w:w="966" w:type="dxa"/>
            <w:vAlign w:val="center"/>
          </w:tcPr>
          <w:p w14:paraId="7F2CF4D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573" w:type="dxa"/>
            <w:vAlign w:val="center"/>
          </w:tcPr>
          <w:p w14:paraId="7AB964F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[-229.390, -75.419]</w:t>
            </w:r>
          </w:p>
        </w:tc>
      </w:tr>
    </w:tbl>
    <w:p w14:paraId="1F36ADE5" w14:textId="77777777" w:rsidR="00FF356B" w:rsidRDefault="00093ABF">
      <w:pPr>
        <w:pStyle w:val="NormalWeb"/>
        <w:widowControl/>
        <w:spacing w:line="360" w:lineRule="auto"/>
        <w:jc w:val="both"/>
        <w:rPr>
          <w:rFonts w:ascii="Times New Roman" w:eastAsia="SimSun" w:hAnsi="Times New Roman"/>
          <w:sz w:val="20"/>
          <w:szCs w:val="20"/>
        </w:rPr>
      </w:pPr>
      <w:r>
        <w:rPr>
          <w:rStyle w:val="Strong"/>
          <w:rFonts w:ascii="Times New Roman" w:eastAsia="SimSun" w:hAnsi="Times New Roman"/>
          <w:b w:val="0"/>
          <w:bCs w:val="0"/>
          <w:sz w:val="20"/>
          <w:szCs w:val="20"/>
        </w:rPr>
        <w:t>Note:</w:t>
      </w:r>
      <w:r>
        <w:rPr>
          <w:rFonts w:ascii="Times New Roman" w:eastAsia="SimSun" w:hAnsi="Times New Roman"/>
          <w:sz w:val="20"/>
          <w:szCs w:val="20"/>
        </w:rPr>
        <w:t xml:space="preserve"> The dependent variable was </w:t>
      </w:r>
      <w:r>
        <w:rPr>
          <w:rStyle w:val="Strong"/>
          <w:rFonts w:ascii="Times New Roman" w:eastAsia="SimSun" w:hAnsi="Times New Roman"/>
          <w:b w:val="0"/>
          <w:bCs w:val="0"/>
          <w:sz w:val="20"/>
          <w:szCs w:val="20"/>
        </w:rPr>
        <w:t>vital capacity (mL)</w:t>
      </w:r>
      <w:r>
        <w:rPr>
          <w:rFonts w:ascii="Times New Roman" w:eastAsia="SimSun" w:hAnsi="Times New Roman"/>
          <w:sz w:val="20"/>
          <w:szCs w:val="20"/>
        </w:rPr>
        <w:t xml:space="preserve">. Academic year was coded as </w:t>
      </w:r>
      <w:r>
        <w:rPr>
          <w:rStyle w:val="Strong"/>
          <w:rFonts w:ascii="Times New Roman" w:eastAsia="SimSun" w:hAnsi="Times New Roman"/>
          <w:b w:val="0"/>
          <w:bCs w:val="0"/>
          <w:sz w:val="20"/>
          <w:szCs w:val="20"/>
        </w:rPr>
        <w:t>freshman = 1, sophomore = 2, junior = 3, and senior = 4</w:t>
      </w:r>
      <w:r>
        <w:rPr>
          <w:rFonts w:ascii="Times New Roman" w:eastAsia="SimSun" w:hAnsi="Times New Roman"/>
          <w:sz w:val="20"/>
          <w:szCs w:val="20"/>
        </w:rPr>
        <w:t>, and was centered at the sample mean (</w:t>
      </w:r>
      <w:r>
        <w:rPr>
          <w:rStyle w:val="Strong"/>
          <w:rFonts w:ascii="Times New Roman" w:eastAsia="SimSun" w:hAnsi="Times New Roman"/>
          <w:b w:val="0"/>
          <w:bCs w:val="0"/>
          <w:sz w:val="20"/>
          <w:szCs w:val="20"/>
        </w:rPr>
        <w:t>mean = 2.448</w:t>
      </w:r>
      <w:r>
        <w:rPr>
          <w:rFonts w:ascii="Times New Roman" w:eastAsia="SimSun" w:hAnsi="Times New Roman"/>
          <w:sz w:val="20"/>
          <w:szCs w:val="20"/>
        </w:rPr>
        <w:t xml:space="preserve">). The model was a </w:t>
      </w:r>
      <w:r>
        <w:rPr>
          <w:rStyle w:val="Strong"/>
          <w:rFonts w:ascii="Times New Roman" w:eastAsia="SimSun" w:hAnsi="Times New Roman"/>
          <w:b w:val="0"/>
          <w:bCs w:val="0"/>
          <w:sz w:val="20"/>
          <w:szCs w:val="20"/>
        </w:rPr>
        <w:t>linear mixed-effects model (REML)</w:t>
      </w:r>
      <w:r>
        <w:rPr>
          <w:rFonts w:ascii="Times New Roman" w:eastAsia="SimSun" w:hAnsi="Times New Roman"/>
          <w:sz w:val="20"/>
          <w:szCs w:val="20"/>
        </w:rPr>
        <w:t xml:space="preserve"> with </w:t>
      </w:r>
      <w:r>
        <w:rPr>
          <w:rStyle w:val="Strong"/>
          <w:rFonts w:ascii="Times New Roman" w:eastAsia="SimSun" w:hAnsi="Times New Roman"/>
          <w:b w:val="0"/>
          <w:bCs w:val="0"/>
          <w:sz w:val="20"/>
          <w:szCs w:val="20"/>
        </w:rPr>
        <w:t>student-specific random intercepts</w:t>
      </w:r>
      <w:r>
        <w:rPr>
          <w:rFonts w:ascii="Times New Roman" w:eastAsia="SimSun" w:hAnsi="Times New Roman"/>
          <w:sz w:val="20"/>
          <w:szCs w:val="20"/>
        </w:rPr>
        <w:t xml:space="preserve">; </w:t>
      </w:r>
      <w:r>
        <w:rPr>
          <w:rStyle w:val="Strong"/>
          <w:rFonts w:ascii="Times New Roman" w:eastAsia="SimSun" w:hAnsi="Times New Roman"/>
          <w:b w:val="0"/>
          <w:bCs w:val="0"/>
          <w:sz w:val="20"/>
          <w:szCs w:val="20"/>
        </w:rPr>
        <w:t>number of observations = 49,156</w:t>
      </w:r>
      <w:r>
        <w:rPr>
          <w:rFonts w:ascii="Times New Roman" w:eastAsia="SimSun" w:hAnsi="Times New Roman"/>
          <w:sz w:val="20"/>
          <w:szCs w:val="20"/>
        </w:rPr>
        <w:t xml:space="preserve"> and </w:t>
      </w:r>
      <w:r>
        <w:rPr>
          <w:rStyle w:val="Strong"/>
          <w:rFonts w:ascii="Times New Roman" w:eastAsia="SimSun" w:hAnsi="Times New Roman"/>
          <w:b w:val="0"/>
          <w:bCs w:val="0"/>
          <w:sz w:val="20"/>
          <w:szCs w:val="20"/>
        </w:rPr>
        <w:t>number of students = 14,920</w:t>
      </w:r>
      <w:r>
        <w:rPr>
          <w:rFonts w:ascii="Times New Roman" w:eastAsia="SimSun" w:hAnsi="Times New Roman"/>
          <w:sz w:val="20"/>
          <w:szCs w:val="20"/>
        </w:rPr>
        <w:t>.</w:t>
      </w:r>
    </w:p>
    <w:p w14:paraId="0FB9E1CB" w14:textId="77777777" w:rsidR="00FF356B" w:rsidRDefault="00093ABF">
      <w:pPr>
        <w:pStyle w:val="NormalWeb"/>
        <w:widowControl/>
        <w:spacing w:line="360" w:lineRule="auto"/>
        <w:jc w:val="both"/>
        <w:rPr>
          <w:rFonts w:ascii="Times New Roman" w:eastAsia="SimSun" w:hAnsi="Times New Roman"/>
          <w:sz w:val="21"/>
          <w:szCs w:val="21"/>
        </w:rPr>
      </w:pPr>
      <w:r>
        <w:rPr>
          <w:rStyle w:val="Strong"/>
          <w:rFonts w:ascii="Times New Roman" w:eastAsia="SimSun" w:hAnsi="Times New Roman"/>
          <w:b w:val="0"/>
          <w:bCs w:val="0"/>
          <w:noProof/>
          <w:sz w:val="21"/>
          <w:szCs w:val="21"/>
        </w:rPr>
        <w:lastRenderedPageBreak/>
        <w:drawing>
          <wp:inline distT="0" distB="0" distL="114300" distR="114300" wp14:anchorId="6EB1A075" wp14:editId="2F658AF6">
            <wp:extent cx="4859020" cy="3033395"/>
            <wp:effectExtent l="0" t="0" r="17780" b="14605"/>
            <wp:docPr id="1" name="图片 1" descr="e5155d12277203a4b1bd523a458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155d12277203a4b1bd523a4587515"/>
                    <pic:cNvPicPr>
                      <a:picLocks noChangeAspect="1"/>
                    </pic:cNvPicPr>
                  </pic:nvPicPr>
                  <pic:blipFill>
                    <a:blip r:embed="rId4"/>
                    <a:stretch>
                      <a:fillRect/>
                    </a:stretch>
                  </pic:blipFill>
                  <pic:spPr>
                    <a:xfrm>
                      <a:off x="0" y="0"/>
                      <a:ext cx="4859020" cy="3033395"/>
                    </a:xfrm>
                    <a:prstGeom prst="rect">
                      <a:avLst/>
                    </a:prstGeom>
                  </pic:spPr>
                </pic:pic>
              </a:graphicData>
            </a:graphic>
          </wp:inline>
        </w:drawing>
      </w:r>
    </w:p>
    <w:p w14:paraId="6917D3AE" w14:textId="77777777" w:rsidR="00FF356B" w:rsidRDefault="00093ABF">
      <w:pPr>
        <w:pStyle w:val="NormalWeb"/>
        <w:widowControl/>
        <w:spacing w:line="360" w:lineRule="auto"/>
        <w:jc w:val="center"/>
        <w:rPr>
          <w:rFonts w:ascii="Times New Roman" w:hAnsi="Times New Roman"/>
          <w:i/>
          <w:iCs/>
          <w:sz w:val="21"/>
          <w:szCs w:val="21"/>
        </w:rPr>
      </w:pPr>
      <w:r>
        <w:rPr>
          <w:rStyle w:val="Strong"/>
          <w:rFonts w:ascii="Times New Roman" w:hAnsi="Times New Roman"/>
          <w:b w:val="0"/>
          <w:bCs w:val="0"/>
          <w:i/>
          <w:iCs/>
          <w:sz w:val="21"/>
          <w:szCs w:val="21"/>
        </w:rPr>
        <w:t xml:space="preserve">Figure 1. Gender Differences in Vital Capacity Among Undergraduate Students Across </w:t>
      </w:r>
      <w:r>
        <w:rPr>
          <w:rStyle w:val="Strong"/>
          <w:rFonts w:ascii="Times New Roman" w:hAnsi="Times New Roman"/>
          <w:b w:val="0"/>
          <w:bCs w:val="0"/>
          <w:i/>
          <w:iCs/>
          <w:sz w:val="21"/>
          <w:szCs w:val="21"/>
        </w:rPr>
        <w:t>Academic Years (95% Confidence Intervals)</w:t>
      </w:r>
    </w:p>
    <w:p w14:paraId="5220971F" w14:textId="77777777" w:rsidR="00FF356B" w:rsidRDefault="00093ABF">
      <w:pPr>
        <w:pStyle w:val="NormalWeb"/>
        <w:widowControl/>
        <w:spacing w:line="360" w:lineRule="auto"/>
        <w:jc w:val="both"/>
        <w:rPr>
          <w:rFonts w:ascii="Times New Roman" w:hAnsi="Times New Roman"/>
          <w:sz w:val="20"/>
          <w:szCs w:val="20"/>
        </w:rPr>
      </w:pPr>
      <w:r>
        <w:rPr>
          <w:rStyle w:val="Strong"/>
          <w:rFonts w:ascii="Times New Roman" w:hAnsi="Times New Roman"/>
          <w:b w:val="0"/>
          <w:bCs w:val="0"/>
          <w:sz w:val="20"/>
          <w:szCs w:val="20"/>
        </w:rPr>
        <w:t>Note:</w:t>
      </w:r>
      <w:r>
        <w:rPr>
          <w:rFonts w:ascii="Times New Roman" w:hAnsi="Times New Roman"/>
          <w:sz w:val="20"/>
          <w:szCs w:val="20"/>
        </w:rPr>
        <w:t xml:space="preserve"> Predicted means and </w:t>
      </w:r>
      <w:r>
        <w:rPr>
          <w:rStyle w:val="Strong"/>
          <w:rFonts w:ascii="Times New Roman" w:hAnsi="Times New Roman"/>
          <w:b w:val="0"/>
          <w:bCs w:val="0"/>
          <w:sz w:val="20"/>
          <w:szCs w:val="20"/>
        </w:rPr>
        <w:t>95% confidence intervals</w:t>
      </w:r>
      <w:r>
        <w:rPr>
          <w:rFonts w:ascii="Times New Roman" w:hAnsi="Times New Roman"/>
          <w:sz w:val="20"/>
          <w:szCs w:val="20"/>
        </w:rPr>
        <w:t xml:space="preserve"> were derived from the </w:t>
      </w:r>
      <w:r>
        <w:rPr>
          <w:rStyle w:val="Strong"/>
          <w:rFonts w:ascii="Times New Roman" w:hAnsi="Times New Roman"/>
          <w:b w:val="0"/>
          <w:bCs w:val="0"/>
          <w:sz w:val="20"/>
          <w:szCs w:val="20"/>
        </w:rPr>
        <w:t>linear mixed-effects model</w:t>
      </w:r>
      <w:r>
        <w:rPr>
          <w:rFonts w:ascii="Times New Roman" w:hAnsi="Times New Roman"/>
          <w:sz w:val="20"/>
          <w:szCs w:val="20"/>
        </w:rPr>
        <w:t xml:space="preserve">, controlling for </w:t>
      </w:r>
      <w:r>
        <w:rPr>
          <w:rStyle w:val="Strong"/>
          <w:rFonts w:ascii="Times New Roman" w:hAnsi="Times New Roman"/>
          <w:b w:val="0"/>
          <w:bCs w:val="0"/>
          <w:sz w:val="20"/>
          <w:szCs w:val="20"/>
        </w:rPr>
        <w:t>year of enrollment</w:t>
      </w:r>
      <w:r>
        <w:rPr>
          <w:rFonts w:ascii="Times New Roman" w:hAnsi="Times New Roman"/>
          <w:sz w:val="20"/>
          <w:szCs w:val="20"/>
        </w:rPr>
        <w:t xml:space="preserve"> and </w:t>
      </w:r>
      <w:r>
        <w:rPr>
          <w:rStyle w:val="Strong"/>
          <w:rFonts w:ascii="Times New Roman" w:hAnsi="Times New Roman"/>
          <w:b w:val="0"/>
          <w:bCs w:val="0"/>
          <w:sz w:val="20"/>
          <w:szCs w:val="20"/>
        </w:rPr>
        <w:t>years of suspension</w:t>
      </w:r>
      <w:r>
        <w:rPr>
          <w:rFonts w:ascii="Times New Roman" w:hAnsi="Times New Roman"/>
          <w:sz w:val="20"/>
          <w:szCs w:val="20"/>
        </w:rPr>
        <w:t>.</w:t>
      </w:r>
    </w:p>
    <w:p w14:paraId="47526318" w14:textId="77777777" w:rsidR="00FF356B" w:rsidRDefault="00FF356B">
      <w:pPr>
        <w:pStyle w:val="NormalWeb"/>
        <w:widowControl/>
        <w:spacing w:line="360" w:lineRule="auto"/>
        <w:jc w:val="both"/>
        <w:rPr>
          <w:rFonts w:ascii="Times New Roman" w:hAnsi="Times New Roman"/>
          <w:sz w:val="21"/>
          <w:szCs w:val="21"/>
        </w:rPr>
      </w:pPr>
    </w:p>
    <w:p w14:paraId="3EB05999"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 xml:space="preserve">3.2 Effects of Academic Year, Gender, and Their </w:t>
      </w:r>
      <w:r>
        <w:rPr>
          <w:rFonts w:ascii="Times New Roman" w:hAnsi="Times New Roman" w:hint="default"/>
          <w:b w:val="0"/>
          <w:bCs w:val="0"/>
          <w:sz w:val="21"/>
          <w:szCs w:val="21"/>
        </w:rPr>
        <w:t>Interaction on Standing Long Jump Performance</w:t>
      </w:r>
    </w:p>
    <w:p w14:paraId="0E6A202C"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The results of the </w:t>
      </w:r>
      <w:r>
        <w:rPr>
          <w:rStyle w:val="Strong"/>
          <w:rFonts w:ascii="Times New Roman" w:hAnsi="Times New Roman"/>
          <w:b w:val="0"/>
          <w:bCs w:val="0"/>
          <w:sz w:val="21"/>
          <w:szCs w:val="21"/>
        </w:rPr>
        <w:t>linear mixed-effects model</w:t>
      </w:r>
      <w:r>
        <w:rPr>
          <w:rFonts w:ascii="Times New Roman" w:hAnsi="Times New Roman"/>
          <w:sz w:val="21"/>
          <w:szCs w:val="21"/>
        </w:rPr>
        <w:t xml:space="preserve"> showed that academic year had a significant positive effect on </w:t>
      </w:r>
      <w:r>
        <w:rPr>
          <w:rStyle w:val="Strong"/>
          <w:rFonts w:ascii="Times New Roman" w:hAnsi="Times New Roman"/>
          <w:b w:val="0"/>
          <w:bCs w:val="0"/>
          <w:sz w:val="21"/>
          <w:szCs w:val="21"/>
        </w:rPr>
        <w:t>standing long jump performance</w:t>
      </w:r>
      <w:r>
        <w:rPr>
          <w:rFonts w:ascii="Times New Roman" w:hAnsi="Times New Roman"/>
          <w:sz w:val="21"/>
          <w:szCs w:val="21"/>
        </w:rPr>
        <w:t xml:space="preserve"> among undergraduate students (</w:t>
      </w:r>
      <w:r>
        <w:rPr>
          <w:rStyle w:val="Strong"/>
          <w:rFonts w:ascii="Times New Roman" w:hAnsi="Times New Roman"/>
          <w:b w:val="0"/>
          <w:bCs w:val="0"/>
          <w:sz w:val="21"/>
          <w:szCs w:val="21"/>
        </w:rPr>
        <w:t>P &lt; 0.001</w:t>
      </w:r>
      <w:r>
        <w:rPr>
          <w:rFonts w:ascii="Times New Roman" w:hAnsi="Times New Roman"/>
          <w:sz w:val="21"/>
          <w:szCs w:val="21"/>
        </w:rPr>
        <w:t xml:space="preserve">), indicating that students’ </w:t>
      </w:r>
      <w:r>
        <w:rPr>
          <w:rStyle w:val="Strong"/>
          <w:rFonts w:ascii="Times New Roman" w:hAnsi="Times New Roman"/>
          <w:b w:val="0"/>
          <w:bCs w:val="0"/>
          <w:sz w:val="21"/>
          <w:szCs w:val="21"/>
        </w:rPr>
        <w:t>lo</w:t>
      </w:r>
      <w:r>
        <w:rPr>
          <w:rStyle w:val="Strong"/>
          <w:rFonts w:ascii="Times New Roman" w:hAnsi="Times New Roman"/>
          <w:b w:val="0"/>
          <w:bCs w:val="0"/>
          <w:sz w:val="21"/>
          <w:szCs w:val="21"/>
        </w:rPr>
        <w:t>wer-limb explosive power</w:t>
      </w:r>
      <w:r>
        <w:rPr>
          <w:rFonts w:ascii="Times New Roman" w:hAnsi="Times New Roman"/>
          <w:sz w:val="21"/>
          <w:szCs w:val="21"/>
        </w:rPr>
        <w:t xml:space="preserve"> generally improved with advancing academic year. The main effect of </w:t>
      </w:r>
      <w:r>
        <w:rPr>
          <w:rStyle w:val="Strong"/>
          <w:rFonts w:ascii="Times New Roman" w:hAnsi="Times New Roman"/>
          <w:b w:val="0"/>
          <w:bCs w:val="0"/>
          <w:sz w:val="21"/>
          <w:szCs w:val="21"/>
        </w:rPr>
        <w:t>gender</w:t>
      </w:r>
      <w:r>
        <w:rPr>
          <w:rFonts w:ascii="Times New Roman" w:hAnsi="Times New Roman"/>
          <w:sz w:val="21"/>
          <w:szCs w:val="21"/>
        </w:rPr>
        <w:t xml:space="preserve"> was also significant (</w:t>
      </w:r>
      <w:r>
        <w:rPr>
          <w:rStyle w:val="Strong"/>
          <w:rFonts w:ascii="Times New Roman" w:hAnsi="Times New Roman"/>
          <w:b w:val="0"/>
          <w:bCs w:val="0"/>
          <w:sz w:val="21"/>
          <w:szCs w:val="21"/>
        </w:rPr>
        <w:t>P &lt; 0.001</w:t>
      </w:r>
      <w:r>
        <w:rPr>
          <w:rFonts w:ascii="Times New Roman" w:hAnsi="Times New Roman"/>
          <w:sz w:val="21"/>
          <w:szCs w:val="21"/>
        </w:rPr>
        <w:t>), with male students demonstrating overall better standing long jump performance than female students.</w:t>
      </w:r>
    </w:p>
    <w:p w14:paraId="1860E671"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The </w:t>
      </w:r>
      <w:r>
        <w:rPr>
          <w:rStyle w:val="Strong"/>
          <w:rFonts w:ascii="Times New Roman" w:hAnsi="Times New Roman"/>
          <w:b w:val="0"/>
          <w:bCs w:val="0"/>
          <w:sz w:val="21"/>
          <w:szCs w:val="21"/>
        </w:rPr>
        <w:t>academic year × g</w:t>
      </w:r>
      <w:r>
        <w:rPr>
          <w:rStyle w:val="Strong"/>
          <w:rFonts w:ascii="Times New Roman" w:hAnsi="Times New Roman"/>
          <w:b w:val="0"/>
          <w:bCs w:val="0"/>
          <w:sz w:val="21"/>
          <w:szCs w:val="21"/>
        </w:rPr>
        <w:t>ender</w:t>
      </w:r>
      <w:r>
        <w:rPr>
          <w:rFonts w:ascii="Times New Roman" w:hAnsi="Times New Roman"/>
          <w:sz w:val="21"/>
          <w:szCs w:val="21"/>
        </w:rPr>
        <w:t xml:space="preserve"> interaction reached statistical significance (</w:t>
      </w:r>
      <w:r>
        <w:rPr>
          <w:rStyle w:val="Strong"/>
          <w:rFonts w:ascii="Times New Roman" w:hAnsi="Times New Roman"/>
          <w:b w:val="0"/>
          <w:bCs w:val="0"/>
          <w:sz w:val="21"/>
          <w:szCs w:val="21"/>
        </w:rPr>
        <w:t>P &lt; 0.05</w:t>
      </w:r>
      <w:r>
        <w:rPr>
          <w:rFonts w:ascii="Times New Roman" w:hAnsi="Times New Roman"/>
          <w:sz w:val="21"/>
          <w:szCs w:val="21"/>
        </w:rPr>
        <w:t>), suggesting that the pattern of change in standing long jump performance across academic years differed by gender. Specifically, the increase in standing long jump performance with academic year</w:t>
      </w:r>
      <w:r>
        <w:rPr>
          <w:rFonts w:ascii="Times New Roman" w:hAnsi="Times New Roman"/>
          <w:sz w:val="21"/>
          <w:szCs w:val="21"/>
        </w:rPr>
        <w:t xml:space="preserve"> was greater in </w:t>
      </w:r>
      <w:r>
        <w:rPr>
          <w:rFonts w:ascii="Times New Roman" w:hAnsi="Times New Roman"/>
          <w:sz w:val="21"/>
          <w:szCs w:val="21"/>
        </w:rPr>
        <w:lastRenderedPageBreak/>
        <w:t xml:space="preserve">male students than in female students, indicating that the improvement in </w:t>
      </w:r>
      <w:r>
        <w:rPr>
          <w:rStyle w:val="Strong"/>
          <w:rFonts w:ascii="Times New Roman" w:hAnsi="Times New Roman"/>
          <w:b w:val="0"/>
          <w:bCs w:val="0"/>
          <w:sz w:val="21"/>
          <w:szCs w:val="21"/>
        </w:rPr>
        <w:t>lower-limb explosive power</w:t>
      </w:r>
      <w:r>
        <w:rPr>
          <w:rFonts w:ascii="Times New Roman" w:hAnsi="Times New Roman"/>
          <w:sz w:val="21"/>
          <w:szCs w:val="21"/>
        </w:rPr>
        <w:t xml:space="preserve"> during the undergraduate period was relatively limited among female students.</w:t>
      </w:r>
    </w:p>
    <w:p w14:paraId="58754834"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After controlling for </w:t>
      </w:r>
      <w:r>
        <w:rPr>
          <w:rStyle w:val="Strong"/>
          <w:rFonts w:ascii="Times New Roman" w:hAnsi="Times New Roman"/>
          <w:b w:val="0"/>
          <w:bCs w:val="0"/>
          <w:sz w:val="21"/>
          <w:szCs w:val="21"/>
        </w:rPr>
        <w:t>year of enrollment</w:t>
      </w:r>
      <w:r>
        <w:rPr>
          <w:rFonts w:ascii="Times New Roman" w:hAnsi="Times New Roman"/>
          <w:sz w:val="21"/>
          <w:szCs w:val="21"/>
        </w:rPr>
        <w:t xml:space="preserve"> and </w:t>
      </w:r>
      <w:r>
        <w:rPr>
          <w:rStyle w:val="Strong"/>
          <w:rFonts w:ascii="Times New Roman" w:hAnsi="Times New Roman"/>
          <w:b w:val="0"/>
          <w:bCs w:val="0"/>
          <w:sz w:val="21"/>
          <w:szCs w:val="21"/>
        </w:rPr>
        <w:t>years of suspens</w:t>
      </w:r>
      <w:r>
        <w:rPr>
          <w:rStyle w:val="Strong"/>
          <w:rFonts w:ascii="Times New Roman" w:hAnsi="Times New Roman"/>
          <w:b w:val="0"/>
          <w:bCs w:val="0"/>
          <w:sz w:val="21"/>
          <w:szCs w:val="21"/>
        </w:rPr>
        <w:t>ion</w:t>
      </w:r>
      <w:r>
        <w:rPr>
          <w:rFonts w:ascii="Times New Roman" w:hAnsi="Times New Roman"/>
          <w:sz w:val="21"/>
          <w:szCs w:val="21"/>
        </w:rPr>
        <w:t xml:space="preserve">, the above results remained stable. The detailed parameter estimates of the model are shown in </w:t>
      </w:r>
      <w:r>
        <w:rPr>
          <w:rStyle w:val="Strong"/>
          <w:rFonts w:ascii="Times New Roman" w:hAnsi="Times New Roman"/>
          <w:b w:val="0"/>
          <w:bCs w:val="0"/>
          <w:sz w:val="21"/>
          <w:szCs w:val="21"/>
        </w:rPr>
        <w:t>Table 2</w:t>
      </w:r>
      <w:r>
        <w:rPr>
          <w:rFonts w:ascii="Times New Roman" w:hAnsi="Times New Roman"/>
          <w:sz w:val="21"/>
          <w:szCs w:val="21"/>
        </w:rPr>
        <w:t xml:space="preserve">, and the trend of gender differences in standing long jump performance across academic years is presented in </w:t>
      </w:r>
      <w:r>
        <w:rPr>
          <w:rStyle w:val="Strong"/>
          <w:rFonts w:ascii="Times New Roman" w:hAnsi="Times New Roman"/>
          <w:b w:val="0"/>
          <w:bCs w:val="0"/>
          <w:sz w:val="21"/>
          <w:szCs w:val="21"/>
        </w:rPr>
        <w:t>Figure 2</w:t>
      </w:r>
      <w:r>
        <w:rPr>
          <w:rFonts w:ascii="Times New Roman" w:hAnsi="Times New Roman"/>
          <w:sz w:val="21"/>
          <w:szCs w:val="21"/>
        </w:rPr>
        <w:t>.</w:t>
      </w:r>
    </w:p>
    <w:p w14:paraId="265FD3DA" w14:textId="77777777" w:rsidR="00FF356B" w:rsidRDefault="00093ABF">
      <w:pPr>
        <w:pStyle w:val="NormalWeb"/>
        <w:widowControl/>
        <w:spacing w:line="360" w:lineRule="auto"/>
        <w:jc w:val="center"/>
        <w:rPr>
          <w:rFonts w:ascii="Times New Roman" w:hAnsi="Times New Roman"/>
          <w:i/>
          <w:iCs/>
          <w:sz w:val="21"/>
          <w:szCs w:val="21"/>
        </w:rPr>
      </w:pPr>
      <w:r>
        <w:rPr>
          <w:rStyle w:val="Strong"/>
          <w:rFonts w:ascii="Times New Roman" w:hAnsi="Times New Roman"/>
          <w:b w:val="0"/>
          <w:bCs w:val="0"/>
          <w:i/>
          <w:iCs/>
          <w:sz w:val="21"/>
          <w:szCs w:val="21"/>
        </w:rPr>
        <w:t xml:space="preserve">Table 2. Results of the </w:t>
      </w:r>
      <w:r>
        <w:rPr>
          <w:rStyle w:val="Strong"/>
          <w:rFonts w:ascii="Times New Roman" w:hAnsi="Times New Roman"/>
          <w:b w:val="0"/>
          <w:bCs w:val="0"/>
          <w:i/>
          <w:iCs/>
          <w:sz w:val="21"/>
          <w:szCs w:val="21"/>
        </w:rPr>
        <w:t>Linear Mixed-Effects Model (REML) for Standing Long Jump Performance in Relation to Academic Year, Gender, and Their Interaction</w:t>
      </w:r>
    </w:p>
    <w:tbl>
      <w:tblPr>
        <w:tblW w:w="9647" w:type="dxa"/>
        <w:jc w:val="center"/>
        <w:tblBorders>
          <w:top w:val="single" w:sz="12" w:space="0" w:color="auto"/>
          <w:bottom w:val="single" w:sz="12" w:space="0" w:color="auto"/>
        </w:tblBorders>
        <w:tblLook w:val="04A0" w:firstRow="1" w:lastRow="0" w:firstColumn="1" w:lastColumn="0" w:noHBand="0" w:noVBand="1"/>
      </w:tblPr>
      <w:tblGrid>
        <w:gridCol w:w="2226"/>
        <w:gridCol w:w="1392"/>
        <w:gridCol w:w="1711"/>
        <w:gridCol w:w="1126"/>
        <w:gridCol w:w="966"/>
        <w:gridCol w:w="2226"/>
      </w:tblGrid>
      <w:tr w:rsidR="00FF356B" w14:paraId="3B4DB950" w14:textId="77777777">
        <w:trPr>
          <w:tblHeader/>
          <w:jc w:val="center"/>
        </w:trPr>
        <w:tc>
          <w:tcPr>
            <w:tcW w:w="2226" w:type="dxa"/>
            <w:tcBorders>
              <w:bottom w:val="single" w:sz="10" w:space="0" w:color="auto"/>
            </w:tcBorders>
            <w:vAlign w:val="center"/>
          </w:tcPr>
          <w:p w14:paraId="454F075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Variables</w:t>
            </w:r>
          </w:p>
        </w:tc>
        <w:tc>
          <w:tcPr>
            <w:tcW w:w="1392" w:type="dxa"/>
            <w:tcBorders>
              <w:bottom w:val="single" w:sz="10" w:space="0" w:color="auto"/>
            </w:tcBorders>
            <w:vAlign w:val="center"/>
          </w:tcPr>
          <w:p w14:paraId="03D8A65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β (Coef.)</w:t>
            </w:r>
          </w:p>
        </w:tc>
        <w:tc>
          <w:tcPr>
            <w:tcW w:w="1711" w:type="dxa"/>
            <w:tcBorders>
              <w:bottom w:val="single" w:sz="10" w:space="0" w:color="auto"/>
            </w:tcBorders>
            <w:vAlign w:val="center"/>
          </w:tcPr>
          <w:p w14:paraId="2971168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SE (</w:t>
            </w:r>
            <w:proofErr w:type="spellStart"/>
            <w:r>
              <w:rPr>
                <w:rFonts w:ascii="Times New Roman" w:eastAsia="SimSun" w:hAnsi="Times New Roman" w:cs="Times New Roman"/>
                <w:szCs w:val="21"/>
              </w:rPr>
              <w:t>Std.Err</w:t>
            </w:r>
            <w:proofErr w:type="spellEnd"/>
            <w:r>
              <w:rPr>
                <w:rFonts w:ascii="Times New Roman" w:eastAsia="SimSun" w:hAnsi="Times New Roman" w:cs="Times New Roman"/>
                <w:szCs w:val="21"/>
              </w:rPr>
              <w:t>.)</w:t>
            </w:r>
          </w:p>
        </w:tc>
        <w:tc>
          <w:tcPr>
            <w:tcW w:w="1126" w:type="dxa"/>
            <w:tcBorders>
              <w:bottom w:val="single" w:sz="10" w:space="0" w:color="auto"/>
            </w:tcBorders>
            <w:vAlign w:val="center"/>
          </w:tcPr>
          <w:p w14:paraId="72799C6B"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z</w:t>
            </w:r>
          </w:p>
        </w:tc>
        <w:tc>
          <w:tcPr>
            <w:tcW w:w="966" w:type="dxa"/>
            <w:tcBorders>
              <w:bottom w:val="single" w:sz="10" w:space="0" w:color="auto"/>
            </w:tcBorders>
            <w:vAlign w:val="center"/>
          </w:tcPr>
          <w:p w14:paraId="3E72A63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p</w:t>
            </w:r>
          </w:p>
        </w:tc>
        <w:tc>
          <w:tcPr>
            <w:tcW w:w="2226" w:type="dxa"/>
            <w:tcBorders>
              <w:bottom w:val="single" w:sz="10" w:space="0" w:color="auto"/>
            </w:tcBorders>
            <w:vAlign w:val="center"/>
          </w:tcPr>
          <w:p w14:paraId="4F60454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95%CI</w:t>
            </w:r>
          </w:p>
        </w:tc>
      </w:tr>
      <w:tr w:rsidR="00FF356B" w14:paraId="7511C69E" w14:textId="77777777">
        <w:trPr>
          <w:jc w:val="center"/>
        </w:trPr>
        <w:tc>
          <w:tcPr>
            <w:tcW w:w="2226" w:type="dxa"/>
            <w:vAlign w:val="center"/>
          </w:tcPr>
          <w:p w14:paraId="2FCAFEB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Grade (centered)</w:t>
            </w:r>
          </w:p>
        </w:tc>
        <w:tc>
          <w:tcPr>
            <w:tcW w:w="1392" w:type="dxa"/>
            <w:vAlign w:val="center"/>
          </w:tcPr>
          <w:p w14:paraId="199A855B"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-36.857</w:t>
            </w:r>
          </w:p>
        </w:tc>
        <w:tc>
          <w:tcPr>
            <w:tcW w:w="1711" w:type="dxa"/>
            <w:vAlign w:val="center"/>
          </w:tcPr>
          <w:p w14:paraId="57FAA37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58.621</w:t>
            </w:r>
          </w:p>
        </w:tc>
        <w:tc>
          <w:tcPr>
            <w:tcW w:w="1126" w:type="dxa"/>
            <w:vAlign w:val="center"/>
          </w:tcPr>
          <w:p w14:paraId="455ECB6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-0.629</w:t>
            </w:r>
          </w:p>
        </w:tc>
        <w:tc>
          <w:tcPr>
            <w:tcW w:w="966" w:type="dxa"/>
            <w:vAlign w:val="center"/>
          </w:tcPr>
          <w:p w14:paraId="60AEE65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0.530</w:t>
            </w:r>
          </w:p>
        </w:tc>
        <w:tc>
          <w:tcPr>
            <w:tcW w:w="2226" w:type="dxa"/>
            <w:vAlign w:val="center"/>
          </w:tcPr>
          <w:p w14:paraId="30C79E5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[-151.753, 78.039]</w:t>
            </w:r>
          </w:p>
        </w:tc>
      </w:tr>
      <w:tr w:rsidR="00FF356B" w14:paraId="2330FE05" w14:textId="77777777">
        <w:trPr>
          <w:jc w:val="center"/>
        </w:trPr>
        <w:tc>
          <w:tcPr>
            <w:tcW w:w="2226" w:type="dxa"/>
            <w:vAlign w:val="center"/>
          </w:tcPr>
          <w:p w14:paraId="45FD8DE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 xml:space="preserve">Sex </w:t>
            </w:r>
            <w:r>
              <w:rPr>
                <w:rFonts w:ascii="Times New Roman" w:eastAsia="SimSun" w:hAnsi="Times New Roman" w:cs="Times New Roman"/>
                <w:szCs w:val="21"/>
              </w:rPr>
              <w:t>(Female=1)</w:t>
            </w:r>
          </w:p>
        </w:tc>
        <w:tc>
          <w:tcPr>
            <w:tcW w:w="1392" w:type="dxa"/>
            <w:vAlign w:val="center"/>
          </w:tcPr>
          <w:p w14:paraId="2B392C4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2.509</w:t>
            </w:r>
          </w:p>
        </w:tc>
        <w:tc>
          <w:tcPr>
            <w:tcW w:w="1711" w:type="dxa"/>
            <w:vAlign w:val="center"/>
          </w:tcPr>
          <w:p w14:paraId="4B64B8C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0.053</w:t>
            </w:r>
          </w:p>
        </w:tc>
        <w:tc>
          <w:tcPr>
            <w:tcW w:w="1126" w:type="dxa"/>
            <w:vAlign w:val="center"/>
          </w:tcPr>
          <w:p w14:paraId="7212408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47.084</w:t>
            </w:r>
          </w:p>
        </w:tc>
        <w:tc>
          <w:tcPr>
            <w:tcW w:w="966" w:type="dxa"/>
            <w:vAlign w:val="center"/>
          </w:tcPr>
          <w:p w14:paraId="414158E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226" w:type="dxa"/>
            <w:vAlign w:val="center"/>
          </w:tcPr>
          <w:p w14:paraId="02FC46B3"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[2.405, 2.614]</w:t>
            </w:r>
          </w:p>
        </w:tc>
      </w:tr>
      <w:tr w:rsidR="00FF356B" w14:paraId="3F9A5A43" w14:textId="77777777">
        <w:trPr>
          <w:jc w:val="center"/>
        </w:trPr>
        <w:tc>
          <w:tcPr>
            <w:tcW w:w="2226" w:type="dxa"/>
            <w:vAlign w:val="center"/>
          </w:tcPr>
          <w:p w14:paraId="298DDA1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Grade × Sex</w:t>
            </w:r>
          </w:p>
        </w:tc>
        <w:tc>
          <w:tcPr>
            <w:tcW w:w="1392" w:type="dxa"/>
            <w:vAlign w:val="center"/>
          </w:tcPr>
          <w:p w14:paraId="41F5624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-50.445</w:t>
            </w:r>
          </w:p>
        </w:tc>
        <w:tc>
          <w:tcPr>
            <w:tcW w:w="1711" w:type="dxa"/>
            <w:vAlign w:val="center"/>
          </w:tcPr>
          <w:p w14:paraId="7DC80C2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0.337</w:t>
            </w:r>
          </w:p>
        </w:tc>
        <w:tc>
          <w:tcPr>
            <w:tcW w:w="1126" w:type="dxa"/>
            <w:vAlign w:val="center"/>
          </w:tcPr>
          <w:p w14:paraId="7E87A74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-149.875</w:t>
            </w:r>
          </w:p>
        </w:tc>
        <w:tc>
          <w:tcPr>
            <w:tcW w:w="966" w:type="dxa"/>
            <w:vAlign w:val="center"/>
          </w:tcPr>
          <w:p w14:paraId="352A6BE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226" w:type="dxa"/>
            <w:vAlign w:val="center"/>
          </w:tcPr>
          <w:p w14:paraId="377932B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[-51.105, -49.786]</w:t>
            </w:r>
          </w:p>
        </w:tc>
      </w:tr>
      <w:tr w:rsidR="00FF356B" w14:paraId="3C1DFC7F" w14:textId="77777777">
        <w:trPr>
          <w:jc w:val="center"/>
        </w:trPr>
        <w:tc>
          <w:tcPr>
            <w:tcW w:w="2226" w:type="dxa"/>
            <w:vAlign w:val="center"/>
          </w:tcPr>
          <w:p w14:paraId="1F858B6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Enrollment Year</w:t>
            </w:r>
          </w:p>
        </w:tc>
        <w:tc>
          <w:tcPr>
            <w:tcW w:w="1392" w:type="dxa"/>
            <w:vAlign w:val="center"/>
          </w:tcPr>
          <w:p w14:paraId="6141470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-1.517</w:t>
            </w:r>
          </w:p>
        </w:tc>
        <w:tc>
          <w:tcPr>
            <w:tcW w:w="1711" w:type="dxa"/>
            <w:vAlign w:val="center"/>
          </w:tcPr>
          <w:p w14:paraId="204DDCB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0.131</w:t>
            </w:r>
          </w:p>
        </w:tc>
        <w:tc>
          <w:tcPr>
            <w:tcW w:w="1126" w:type="dxa"/>
            <w:vAlign w:val="center"/>
          </w:tcPr>
          <w:p w14:paraId="6619FD4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-11.564</w:t>
            </w:r>
          </w:p>
        </w:tc>
        <w:tc>
          <w:tcPr>
            <w:tcW w:w="966" w:type="dxa"/>
            <w:vAlign w:val="center"/>
          </w:tcPr>
          <w:p w14:paraId="0E17471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226" w:type="dxa"/>
            <w:vAlign w:val="center"/>
          </w:tcPr>
          <w:p w14:paraId="2E10231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[-1.774, -1.260]</w:t>
            </w:r>
          </w:p>
        </w:tc>
      </w:tr>
      <w:tr w:rsidR="00FF356B" w14:paraId="78C9A21B" w14:textId="77777777">
        <w:trPr>
          <w:jc w:val="center"/>
        </w:trPr>
        <w:tc>
          <w:tcPr>
            <w:tcW w:w="2226" w:type="dxa"/>
            <w:vAlign w:val="center"/>
          </w:tcPr>
          <w:p w14:paraId="656C6C4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Years of Suspension</w:t>
            </w:r>
          </w:p>
        </w:tc>
        <w:tc>
          <w:tcPr>
            <w:tcW w:w="1392" w:type="dxa"/>
            <w:vAlign w:val="center"/>
          </w:tcPr>
          <w:p w14:paraId="0B81C47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0.139</w:t>
            </w:r>
          </w:p>
        </w:tc>
        <w:tc>
          <w:tcPr>
            <w:tcW w:w="1711" w:type="dxa"/>
            <w:vAlign w:val="center"/>
          </w:tcPr>
          <w:p w14:paraId="0C5AF4A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0.029</w:t>
            </w:r>
          </w:p>
        </w:tc>
        <w:tc>
          <w:tcPr>
            <w:tcW w:w="1126" w:type="dxa"/>
            <w:vAlign w:val="center"/>
          </w:tcPr>
          <w:p w14:paraId="18697CD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4.771</w:t>
            </w:r>
          </w:p>
        </w:tc>
        <w:tc>
          <w:tcPr>
            <w:tcW w:w="966" w:type="dxa"/>
            <w:vAlign w:val="center"/>
          </w:tcPr>
          <w:p w14:paraId="21E6545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226" w:type="dxa"/>
            <w:vAlign w:val="center"/>
          </w:tcPr>
          <w:p w14:paraId="1C3D5A9B"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[0.082, 0.196]</w:t>
            </w:r>
          </w:p>
        </w:tc>
      </w:tr>
      <w:tr w:rsidR="00FF356B" w14:paraId="6F95836A" w14:textId="77777777">
        <w:trPr>
          <w:jc w:val="center"/>
        </w:trPr>
        <w:tc>
          <w:tcPr>
            <w:tcW w:w="2226" w:type="dxa"/>
            <w:vAlign w:val="center"/>
          </w:tcPr>
          <w:p w14:paraId="6A5CCFA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 xml:space="preserve">Grade </w:t>
            </w:r>
            <w:r>
              <w:rPr>
                <w:rFonts w:ascii="Times New Roman" w:eastAsia="SimSun" w:hAnsi="Times New Roman" w:cs="Times New Roman"/>
                <w:szCs w:val="21"/>
              </w:rPr>
              <w:t>(centered)</w:t>
            </w:r>
          </w:p>
        </w:tc>
        <w:tc>
          <w:tcPr>
            <w:tcW w:w="1392" w:type="dxa"/>
            <w:vAlign w:val="center"/>
          </w:tcPr>
          <w:p w14:paraId="0598396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-2.217</w:t>
            </w:r>
          </w:p>
        </w:tc>
        <w:tc>
          <w:tcPr>
            <w:tcW w:w="1711" w:type="dxa"/>
            <w:vAlign w:val="center"/>
          </w:tcPr>
          <w:p w14:paraId="3BDDF8A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1.110</w:t>
            </w:r>
          </w:p>
        </w:tc>
        <w:tc>
          <w:tcPr>
            <w:tcW w:w="1126" w:type="dxa"/>
            <w:vAlign w:val="center"/>
          </w:tcPr>
          <w:p w14:paraId="4D9A1F2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-1.997</w:t>
            </w:r>
          </w:p>
        </w:tc>
        <w:tc>
          <w:tcPr>
            <w:tcW w:w="966" w:type="dxa"/>
            <w:vAlign w:val="center"/>
          </w:tcPr>
          <w:p w14:paraId="2CA8E864"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0.046</w:t>
            </w:r>
          </w:p>
        </w:tc>
        <w:tc>
          <w:tcPr>
            <w:tcW w:w="2226" w:type="dxa"/>
            <w:vAlign w:val="center"/>
          </w:tcPr>
          <w:p w14:paraId="66E80F0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[-4.392, -0.041]</w:t>
            </w:r>
          </w:p>
        </w:tc>
      </w:tr>
    </w:tbl>
    <w:p w14:paraId="55DF6DB8" w14:textId="77777777" w:rsidR="00FF356B" w:rsidRDefault="00093ABF">
      <w:pPr>
        <w:pStyle w:val="NormalWeb"/>
        <w:widowControl/>
        <w:spacing w:line="360" w:lineRule="auto"/>
        <w:jc w:val="both"/>
        <w:rPr>
          <w:rFonts w:ascii="Times New Roman" w:hAnsi="Times New Roman"/>
          <w:sz w:val="18"/>
          <w:szCs w:val="18"/>
        </w:rPr>
      </w:pPr>
      <w:r>
        <w:rPr>
          <w:rStyle w:val="Strong"/>
          <w:rFonts w:ascii="Times New Roman" w:hAnsi="Times New Roman"/>
          <w:b w:val="0"/>
          <w:bCs w:val="0"/>
          <w:sz w:val="18"/>
          <w:szCs w:val="18"/>
        </w:rPr>
        <w:t>Note:</w:t>
      </w:r>
      <w:r>
        <w:rPr>
          <w:rFonts w:ascii="Times New Roman" w:hAnsi="Times New Roman"/>
          <w:sz w:val="18"/>
          <w:szCs w:val="18"/>
        </w:rPr>
        <w:t xml:space="preserve"> The dependent variable was </w:t>
      </w:r>
      <w:r>
        <w:rPr>
          <w:rStyle w:val="Strong"/>
          <w:rFonts w:ascii="Times New Roman" w:hAnsi="Times New Roman"/>
          <w:b w:val="0"/>
          <w:bCs w:val="0"/>
          <w:sz w:val="18"/>
          <w:szCs w:val="18"/>
        </w:rPr>
        <w:t>standing long jump (jump)</w:t>
      </w:r>
      <w:r>
        <w:rPr>
          <w:rFonts w:ascii="Times New Roman" w:hAnsi="Times New Roman"/>
          <w:sz w:val="18"/>
          <w:szCs w:val="18"/>
        </w:rPr>
        <w:t xml:space="preserve">. Academic year was coded as </w:t>
      </w:r>
      <w:r>
        <w:rPr>
          <w:rStyle w:val="Strong"/>
          <w:rFonts w:ascii="Times New Roman" w:hAnsi="Times New Roman"/>
          <w:b w:val="0"/>
          <w:bCs w:val="0"/>
          <w:sz w:val="18"/>
          <w:szCs w:val="18"/>
        </w:rPr>
        <w:t>freshman = 1, sophomore = 2, junior = 3, and senior = 4</w:t>
      </w:r>
      <w:r>
        <w:rPr>
          <w:rFonts w:ascii="Times New Roman" w:hAnsi="Times New Roman"/>
          <w:sz w:val="18"/>
          <w:szCs w:val="18"/>
        </w:rPr>
        <w:t>, and was centered at the sample mean (</w:t>
      </w:r>
      <w:r>
        <w:rPr>
          <w:rStyle w:val="Strong"/>
          <w:rFonts w:ascii="Times New Roman" w:hAnsi="Times New Roman"/>
          <w:b w:val="0"/>
          <w:bCs w:val="0"/>
          <w:sz w:val="18"/>
          <w:szCs w:val="18"/>
        </w:rPr>
        <w:t>mean = 2.448</w:t>
      </w:r>
      <w:r>
        <w:rPr>
          <w:rFonts w:ascii="Times New Roman" w:hAnsi="Times New Roman"/>
          <w:sz w:val="18"/>
          <w:szCs w:val="18"/>
        </w:rPr>
        <w:t xml:space="preserve">). Gender was coded as </w:t>
      </w:r>
      <w:r>
        <w:rPr>
          <w:rStyle w:val="Strong"/>
          <w:rFonts w:ascii="Times New Roman" w:hAnsi="Times New Roman"/>
          <w:b w:val="0"/>
          <w:bCs w:val="0"/>
          <w:sz w:val="18"/>
          <w:szCs w:val="18"/>
        </w:rPr>
        <w:t>male = 0</w:t>
      </w:r>
      <w:r>
        <w:rPr>
          <w:rFonts w:ascii="Times New Roman" w:hAnsi="Times New Roman"/>
          <w:sz w:val="18"/>
          <w:szCs w:val="18"/>
        </w:rPr>
        <w:t xml:space="preserve"> and </w:t>
      </w:r>
      <w:r>
        <w:rPr>
          <w:rStyle w:val="Strong"/>
          <w:rFonts w:ascii="Times New Roman" w:hAnsi="Times New Roman"/>
          <w:b w:val="0"/>
          <w:bCs w:val="0"/>
          <w:sz w:val="18"/>
          <w:szCs w:val="18"/>
        </w:rPr>
        <w:t>female = 1</w:t>
      </w:r>
      <w:r>
        <w:rPr>
          <w:rFonts w:ascii="Times New Roman" w:hAnsi="Times New Roman"/>
          <w:sz w:val="18"/>
          <w:szCs w:val="18"/>
        </w:rPr>
        <w:t xml:space="preserve">. The model was a </w:t>
      </w:r>
      <w:r>
        <w:rPr>
          <w:rStyle w:val="Strong"/>
          <w:rFonts w:ascii="Times New Roman" w:hAnsi="Times New Roman"/>
          <w:b w:val="0"/>
          <w:bCs w:val="0"/>
          <w:sz w:val="18"/>
          <w:szCs w:val="18"/>
        </w:rPr>
        <w:t>linear mixed-effects model (REML)</w:t>
      </w:r>
      <w:r>
        <w:rPr>
          <w:rFonts w:ascii="Times New Roman" w:hAnsi="Times New Roman"/>
          <w:sz w:val="18"/>
          <w:szCs w:val="18"/>
        </w:rPr>
        <w:t xml:space="preserve"> with </w:t>
      </w:r>
      <w:r>
        <w:rPr>
          <w:rStyle w:val="Strong"/>
          <w:rFonts w:ascii="Times New Roman" w:hAnsi="Times New Roman"/>
          <w:b w:val="0"/>
          <w:bCs w:val="0"/>
          <w:sz w:val="18"/>
          <w:szCs w:val="18"/>
        </w:rPr>
        <w:t>student-specific random intercepts</w:t>
      </w:r>
      <w:r>
        <w:rPr>
          <w:rFonts w:ascii="Times New Roman" w:hAnsi="Times New Roman"/>
          <w:sz w:val="18"/>
          <w:szCs w:val="18"/>
        </w:rPr>
        <w:t xml:space="preserve">; </w:t>
      </w:r>
      <w:r>
        <w:rPr>
          <w:rStyle w:val="Strong"/>
          <w:rFonts w:ascii="Times New Roman" w:hAnsi="Times New Roman"/>
          <w:b w:val="0"/>
          <w:bCs w:val="0"/>
          <w:sz w:val="18"/>
          <w:szCs w:val="18"/>
        </w:rPr>
        <w:t>number of observations = 49,156</w:t>
      </w:r>
      <w:r>
        <w:rPr>
          <w:rFonts w:ascii="Times New Roman" w:hAnsi="Times New Roman"/>
          <w:sz w:val="18"/>
          <w:szCs w:val="18"/>
        </w:rPr>
        <w:t xml:space="preserve"> and </w:t>
      </w:r>
      <w:r>
        <w:rPr>
          <w:rStyle w:val="Strong"/>
          <w:rFonts w:ascii="Times New Roman" w:hAnsi="Times New Roman"/>
          <w:b w:val="0"/>
          <w:bCs w:val="0"/>
          <w:sz w:val="18"/>
          <w:szCs w:val="18"/>
        </w:rPr>
        <w:t>number of students = 14,920</w:t>
      </w:r>
      <w:r>
        <w:rPr>
          <w:rFonts w:ascii="Times New Roman" w:hAnsi="Times New Roman"/>
          <w:sz w:val="18"/>
          <w:szCs w:val="18"/>
        </w:rPr>
        <w:t>.</w:t>
      </w:r>
    </w:p>
    <w:p w14:paraId="7781218E" w14:textId="77777777" w:rsidR="00FF356B" w:rsidRDefault="00FF356B">
      <w:pPr>
        <w:pStyle w:val="NormalWeb"/>
        <w:widowControl/>
        <w:spacing w:line="360" w:lineRule="auto"/>
        <w:jc w:val="both"/>
        <w:rPr>
          <w:rFonts w:ascii="Times New Roman" w:eastAsia="SimSun" w:hAnsi="Times New Roman"/>
          <w:sz w:val="21"/>
          <w:szCs w:val="21"/>
        </w:rPr>
      </w:pPr>
    </w:p>
    <w:p w14:paraId="2FF12C23" w14:textId="77777777" w:rsidR="00FF356B" w:rsidRDefault="00093ABF">
      <w:pPr>
        <w:pStyle w:val="NormalWeb"/>
        <w:widowControl/>
        <w:spacing w:line="360" w:lineRule="auto"/>
        <w:jc w:val="both"/>
        <w:rPr>
          <w:rFonts w:ascii="Times New Roman" w:eastAsia="SimSun" w:hAnsi="Times New Roman"/>
          <w:sz w:val="21"/>
          <w:szCs w:val="21"/>
        </w:rPr>
      </w:pPr>
      <w:r>
        <w:rPr>
          <w:rFonts w:ascii="Times New Roman" w:eastAsia="SimSun" w:hAnsi="Times New Roman"/>
          <w:noProof/>
          <w:sz w:val="21"/>
          <w:szCs w:val="21"/>
        </w:rPr>
        <w:lastRenderedPageBreak/>
        <w:drawing>
          <wp:inline distT="0" distB="0" distL="114300" distR="114300" wp14:anchorId="6590CCEA" wp14:editId="7F122D22">
            <wp:extent cx="5493385" cy="3476625"/>
            <wp:effectExtent l="0" t="0" r="12065" b="9525"/>
            <wp:docPr id="4" name="图片 4" descr="030fec7bb571df9a5e67e931ded4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30fec7bb571df9a5e67e931ded49b1"/>
                    <pic:cNvPicPr>
                      <a:picLocks noChangeAspect="1"/>
                    </pic:cNvPicPr>
                  </pic:nvPicPr>
                  <pic:blipFill>
                    <a:blip r:embed="rId5"/>
                    <a:stretch>
                      <a:fillRect/>
                    </a:stretch>
                  </pic:blipFill>
                  <pic:spPr>
                    <a:xfrm>
                      <a:off x="0" y="0"/>
                      <a:ext cx="5493385" cy="3476625"/>
                    </a:xfrm>
                    <a:prstGeom prst="rect">
                      <a:avLst/>
                    </a:prstGeom>
                  </pic:spPr>
                </pic:pic>
              </a:graphicData>
            </a:graphic>
          </wp:inline>
        </w:drawing>
      </w:r>
    </w:p>
    <w:p w14:paraId="523715C0" w14:textId="77777777" w:rsidR="00FF356B" w:rsidRDefault="00093ABF">
      <w:pPr>
        <w:pStyle w:val="NormalWeb"/>
        <w:widowControl/>
        <w:spacing w:line="360" w:lineRule="auto"/>
        <w:jc w:val="center"/>
        <w:rPr>
          <w:rFonts w:ascii="Times New Roman" w:hAnsi="Times New Roman"/>
          <w:i/>
          <w:iCs/>
          <w:sz w:val="21"/>
          <w:szCs w:val="21"/>
        </w:rPr>
      </w:pPr>
      <w:r>
        <w:rPr>
          <w:rStyle w:val="Strong"/>
          <w:rFonts w:ascii="Times New Roman" w:hAnsi="Times New Roman"/>
          <w:b w:val="0"/>
          <w:bCs w:val="0"/>
          <w:i/>
          <w:iCs/>
          <w:sz w:val="21"/>
          <w:szCs w:val="21"/>
        </w:rPr>
        <w:t xml:space="preserve">Figure 2. Gender Differences in Standing Long </w:t>
      </w:r>
      <w:r>
        <w:rPr>
          <w:rStyle w:val="Strong"/>
          <w:rFonts w:ascii="Times New Roman" w:hAnsi="Times New Roman"/>
          <w:b w:val="0"/>
          <w:bCs w:val="0"/>
          <w:i/>
          <w:iCs/>
          <w:sz w:val="21"/>
          <w:szCs w:val="21"/>
        </w:rPr>
        <w:t>Jump Performance Among Undergraduate Students Across Academic Years (95% Confidence Intervals)</w:t>
      </w:r>
    </w:p>
    <w:p w14:paraId="264A5B31" w14:textId="77777777" w:rsidR="00FF356B" w:rsidRDefault="00093ABF">
      <w:pPr>
        <w:pStyle w:val="NormalWeb"/>
        <w:widowControl/>
        <w:spacing w:line="360" w:lineRule="auto"/>
        <w:jc w:val="both"/>
        <w:rPr>
          <w:rFonts w:ascii="Times New Roman" w:hAnsi="Times New Roman"/>
          <w:sz w:val="18"/>
          <w:szCs w:val="18"/>
        </w:rPr>
      </w:pPr>
      <w:r>
        <w:rPr>
          <w:rStyle w:val="Strong"/>
          <w:rFonts w:ascii="Times New Roman" w:hAnsi="Times New Roman"/>
          <w:b w:val="0"/>
          <w:bCs w:val="0"/>
          <w:sz w:val="18"/>
          <w:szCs w:val="18"/>
        </w:rPr>
        <w:t>Note:</w:t>
      </w:r>
      <w:r>
        <w:rPr>
          <w:rFonts w:ascii="Times New Roman" w:hAnsi="Times New Roman"/>
          <w:sz w:val="18"/>
          <w:szCs w:val="18"/>
        </w:rPr>
        <w:t xml:space="preserve"> Predicted means and </w:t>
      </w:r>
      <w:r>
        <w:rPr>
          <w:rStyle w:val="Strong"/>
          <w:rFonts w:ascii="Times New Roman" w:hAnsi="Times New Roman"/>
          <w:b w:val="0"/>
          <w:bCs w:val="0"/>
          <w:sz w:val="18"/>
          <w:szCs w:val="18"/>
        </w:rPr>
        <w:t>95% confidence intervals</w:t>
      </w:r>
      <w:r>
        <w:rPr>
          <w:rFonts w:ascii="Times New Roman" w:hAnsi="Times New Roman"/>
          <w:sz w:val="18"/>
          <w:szCs w:val="18"/>
        </w:rPr>
        <w:t xml:space="preserve"> were derived from the </w:t>
      </w:r>
      <w:r>
        <w:rPr>
          <w:rStyle w:val="Strong"/>
          <w:rFonts w:ascii="Times New Roman" w:hAnsi="Times New Roman"/>
          <w:b w:val="0"/>
          <w:bCs w:val="0"/>
          <w:sz w:val="18"/>
          <w:szCs w:val="18"/>
        </w:rPr>
        <w:t>linear mixed-effects model</w:t>
      </w:r>
      <w:r>
        <w:rPr>
          <w:rFonts w:ascii="Times New Roman" w:hAnsi="Times New Roman"/>
          <w:sz w:val="18"/>
          <w:szCs w:val="18"/>
        </w:rPr>
        <w:t xml:space="preserve">, controlling for </w:t>
      </w:r>
      <w:r>
        <w:rPr>
          <w:rStyle w:val="Strong"/>
          <w:rFonts w:ascii="Times New Roman" w:hAnsi="Times New Roman"/>
          <w:b w:val="0"/>
          <w:bCs w:val="0"/>
          <w:sz w:val="18"/>
          <w:szCs w:val="18"/>
        </w:rPr>
        <w:t>year of enrollment</w:t>
      </w:r>
      <w:r>
        <w:rPr>
          <w:rFonts w:ascii="Times New Roman" w:hAnsi="Times New Roman"/>
          <w:sz w:val="18"/>
          <w:szCs w:val="18"/>
        </w:rPr>
        <w:t xml:space="preserve"> and </w:t>
      </w:r>
      <w:r>
        <w:rPr>
          <w:rStyle w:val="Strong"/>
          <w:rFonts w:ascii="Times New Roman" w:hAnsi="Times New Roman"/>
          <w:b w:val="0"/>
          <w:bCs w:val="0"/>
          <w:sz w:val="18"/>
          <w:szCs w:val="18"/>
        </w:rPr>
        <w:t>years of suspension</w:t>
      </w:r>
      <w:r>
        <w:rPr>
          <w:rFonts w:ascii="Times New Roman" w:hAnsi="Times New Roman"/>
          <w:sz w:val="18"/>
          <w:szCs w:val="18"/>
        </w:rPr>
        <w:t xml:space="preserve">. </w:t>
      </w:r>
      <w:r>
        <w:rPr>
          <w:rFonts w:ascii="Times New Roman" w:hAnsi="Times New Roman"/>
          <w:sz w:val="18"/>
          <w:szCs w:val="18"/>
        </w:rPr>
        <w:t xml:space="preserve">The analysis results for </w:t>
      </w:r>
      <w:r>
        <w:rPr>
          <w:rStyle w:val="Strong"/>
          <w:rFonts w:ascii="Times New Roman" w:hAnsi="Times New Roman"/>
          <w:b w:val="0"/>
          <w:bCs w:val="0"/>
          <w:sz w:val="18"/>
          <w:szCs w:val="18"/>
        </w:rPr>
        <w:t>sit-and-reach</w:t>
      </w:r>
      <w:r>
        <w:rPr>
          <w:rFonts w:ascii="Times New Roman" w:hAnsi="Times New Roman"/>
          <w:sz w:val="18"/>
          <w:szCs w:val="18"/>
        </w:rPr>
        <w:t xml:space="preserve"> and </w:t>
      </w:r>
      <w:r>
        <w:rPr>
          <w:rStyle w:val="Strong"/>
          <w:rFonts w:ascii="Times New Roman" w:hAnsi="Times New Roman"/>
          <w:b w:val="0"/>
          <w:bCs w:val="0"/>
          <w:sz w:val="18"/>
          <w:szCs w:val="18"/>
        </w:rPr>
        <w:t>50 m sprint</w:t>
      </w:r>
      <w:r>
        <w:rPr>
          <w:rFonts w:ascii="Times New Roman" w:hAnsi="Times New Roman"/>
          <w:sz w:val="18"/>
          <w:szCs w:val="18"/>
        </w:rPr>
        <w:t xml:space="preserve"> are presented in the </w:t>
      </w:r>
      <w:r>
        <w:rPr>
          <w:rStyle w:val="Strong"/>
          <w:rFonts w:ascii="Times New Roman" w:hAnsi="Times New Roman"/>
          <w:b w:val="0"/>
          <w:bCs w:val="0"/>
          <w:sz w:val="18"/>
          <w:szCs w:val="18"/>
        </w:rPr>
        <w:t>Supplementary Tables</w:t>
      </w:r>
      <w:r>
        <w:rPr>
          <w:rFonts w:ascii="Times New Roman" w:hAnsi="Times New Roman"/>
          <w:sz w:val="18"/>
          <w:szCs w:val="18"/>
        </w:rPr>
        <w:t>.</w:t>
      </w:r>
    </w:p>
    <w:p w14:paraId="0D99249F" w14:textId="77777777" w:rsidR="00FF356B" w:rsidRDefault="00FF356B">
      <w:pPr>
        <w:pStyle w:val="NormalWeb"/>
        <w:widowControl/>
        <w:spacing w:line="360" w:lineRule="auto"/>
        <w:jc w:val="both"/>
        <w:rPr>
          <w:rFonts w:ascii="Times New Roman" w:hAnsi="Times New Roman"/>
          <w:sz w:val="21"/>
          <w:szCs w:val="21"/>
        </w:rPr>
      </w:pPr>
    </w:p>
    <w:p w14:paraId="471E959E" w14:textId="77777777" w:rsidR="00FF356B" w:rsidRDefault="00FF356B">
      <w:pPr>
        <w:pStyle w:val="NormalWeb"/>
        <w:widowControl/>
        <w:spacing w:line="360" w:lineRule="auto"/>
        <w:jc w:val="both"/>
        <w:rPr>
          <w:rFonts w:ascii="Times New Roman" w:hAnsi="Times New Roman"/>
          <w:sz w:val="21"/>
          <w:szCs w:val="21"/>
        </w:rPr>
      </w:pPr>
    </w:p>
    <w:p w14:paraId="7B5EAE87" w14:textId="77777777" w:rsidR="00FF356B" w:rsidRDefault="00FF356B">
      <w:pPr>
        <w:pStyle w:val="NormalWeb"/>
        <w:widowControl/>
        <w:spacing w:line="360" w:lineRule="auto"/>
        <w:jc w:val="both"/>
        <w:rPr>
          <w:rFonts w:ascii="Times New Roman" w:hAnsi="Times New Roman"/>
          <w:sz w:val="21"/>
          <w:szCs w:val="21"/>
        </w:rPr>
      </w:pPr>
    </w:p>
    <w:p w14:paraId="7A5A72F7" w14:textId="77777777" w:rsidR="00FF356B" w:rsidRDefault="00093ABF">
      <w:pPr>
        <w:pStyle w:val="Heading2"/>
        <w:keepNext w:val="0"/>
        <w:keepLines w:val="0"/>
        <w:widowControl/>
        <w:spacing w:line="360" w:lineRule="auto"/>
        <w:rPr>
          <w:rFonts w:ascii="Times New Roman" w:hAnsi="Times New Roman" w:cs="Times New Roman"/>
          <w:color w:val="auto"/>
          <w:sz w:val="21"/>
          <w:szCs w:val="21"/>
        </w:rPr>
      </w:pPr>
      <w:r>
        <w:rPr>
          <w:rFonts w:ascii="Times New Roman" w:hAnsi="Times New Roman" w:cs="Times New Roman"/>
          <w:color w:val="auto"/>
          <w:sz w:val="21"/>
          <w:szCs w:val="21"/>
        </w:rPr>
        <w:t>4 Discussion</w:t>
      </w:r>
    </w:p>
    <w:p w14:paraId="7AF96CBB"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4.1 Overall Patterns of Physical Fitness Changes Across Academic Years During Undergraduate Study</w:t>
      </w:r>
    </w:p>
    <w:p w14:paraId="4DCD3DA4"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Based on longitudinal data, this study systematically examined the patterns of change in physical fitness indicators across academic years among undergraduate students. The results showed that </w:t>
      </w:r>
      <w:r>
        <w:rPr>
          <w:rFonts w:ascii="Times New Roman" w:hAnsi="Times New Roman"/>
          <w:sz w:val="21"/>
          <w:szCs w:val="21"/>
        </w:rPr>
        <w:lastRenderedPageBreak/>
        <w:t xml:space="preserve">both </w:t>
      </w:r>
      <w:r>
        <w:rPr>
          <w:rStyle w:val="Strong"/>
          <w:rFonts w:ascii="Times New Roman" w:hAnsi="Times New Roman"/>
          <w:b w:val="0"/>
          <w:bCs w:val="0"/>
          <w:sz w:val="21"/>
          <w:szCs w:val="21"/>
        </w:rPr>
        <w:t>vital capacity</w:t>
      </w:r>
      <w:r>
        <w:rPr>
          <w:rFonts w:ascii="Times New Roman" w:hAnsi="Times New Roman"/>
          <w:sz w:val="21"/>
          <w:szCs w:val="21"/>
        </w:rPr>
        <w:t xml:space="preserve"> and </w:t>
      </w:r>
      <w:r>
        <w:rPr>
          <w:rStyle w:val="Strong"/>
          <w:rFonts w:ascii="Times New Roman" w:hAnsi="Times New Roman"/>
          <w:b w:val="0"/>
          <w:bCs w:val="0"/>
          <w:sz w:val="21"/>
          <w:szCs w:val="21"/>
        </w:rPr>
        <w:t xml:space="preserve">standing long jump </w:t>
      </w:r>
      <w:r>
        <w:rPr>
          <w:rStyle w:val="Strong"/>
          <w:rFonts w:ascii="Times New Roman" w:hAnsi="Times New Roman"/>
          <w:b w:val="0"/>
          <w:bCs w:val="0"/>
          <w:sz w:val="21"/>
          <w:szCs w:val="21"/>
        </w:rPr>
        <w:t>performance</w:t>
      </w:r>
      <w:r>
        <w:rPr>
          <w:rFonts w:ascii="Times New Roman" w:hAnsi="Times New Roman"/>
          <w:sz w:val="21"/>
          <w:szCs w:val="21"/>
        </w:rPr>
        <w:t xml:space="preserve"> improved significantly with advancing academic year. This finding suggests that students’ physical fitness levels are not static during the undergraduate period, but rather retain a certain degree of developmental potential [12].</w:t>
      </w:r>
    </w:p>
    <w:p w14:paraId="55C29238"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Most previous </w:t>
      </w:r>
      <w:r>
        <w:rPr>
          <w:rFonts w:ascii="Times New Roman" w:hAnsi="Times New Roman"/>
          <w:sz w:val="21"/>
          <w:szCs w:val="21"/>
        </w:rPr>
        <w:t xml:space="preserve">studies have compared physical fitness levels among students in different academic years using </w:t>
      </w:r>
      <w:r>
        <w:rPr>
          <w:rStyle w:val="Strong"/>
          <w:rFonts w:ascii="Times New Roman" w:hAnsi="Times New Roman"/>
          <w:b w:val="0"/>
          <w:bCs w:val="0"/>
          <w:sz w:val="21"/>
          <w:szCs w:val="21"/>
        </w:rPr>
        <w:t>cross-sectional data</w:t>
      </w:r>
      <w:r>
        <w:rPr>
          <w:rFonts w:ascii="Times New Roman" w:hAnsi="Times New Roman"/>
          <w:sz w:val="21"/>
          <w:szCs w:val="21"/>
        </w:rPr>
        <w:t>. Although such studies can, to some extent, reflect differences between academic years, they are limited in accurately characterizing indivi</w:t>
      </w:r>
      <w:r>
        <w:rPr>
          <w:rFonts w:ascii="Times New Roman" w:hAnsi="Times New Roman"/>
          <w:sz w:val="21"/>
          <w:szCs w:val="21"/>
        </w:rPr>
        <w:t>dual developmental trajectories of physical fitness over time. In contrast, by longitudinally matching repeated measurements from the same students across multiple academic years, the present study more directly captured the actual trend of physical fitnes</w:t>
      </w:r>
      <w:r>
        <w:rPr>
          <w:rFonts w:ascii="Times New Roman" w:hAnsi="Times New Roman"/>
          <w:sz w:val="21"/>
          <w:szCs w:val="21"/>
        </w:rPr>
        <w:t>s changes during undergraduate study, thereby providing more robust evidence for the conclusions drawn.</w:t>
      </w:r>
    </w:p>
    <w:p w14:paraId="24705FCA"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From a practical perspective, these findings suggest that there remains considerable room for the implementation of </w:t>
      </w:r>
      <w:r>
        <w:rPr>
          <w:rStyle w:val="Strong"/>
          <w:rFonts w:ascii="Times New Roman" w:hAnsi="Times New Roman"/>
          <w:b w:val="0"/>
          <w:bCs w:val="0"/>
          <w:sz w:val="21"/>
          <w:szCs w:val="21"/>
        </w:rPr>
        <w:t>physical education teaching</w:t>
      </w:r>
      <w:r>
        <w:rPr>
          <w:rFonts w:ascii="Times New Roman" w:hAnsi="Times New Roman"/>
          <w:sz w:val="21"/>
          <w:szCs w:val="21"/>
        </w:rPr>
        <w:t xml:space="preserve"> and </w:t>
      </w:r>
      <w:r>
        <w:rPr>
          <w:rStyle w:val="Strong"/>
          <w:rFonts w:ascii="Times New Roman" w:hAnsi="Times New Roman"/>
          <w:b w:val="0"/>
          <w:bCs w:val="0"/>
          <w:sz w:val="21"/>
          <w:szCs w:val="21"/>
        </w:rPr>
        <w:t>fitn</w:t>
      </w:r>
      <w:r>
        <w:rPr>
          <w:rStyle w:val="Strong"/>
          <w:rFonts w:ascii="Times New Roman" w:hAnsi="Times New Roman"/>
          <w:b w:val="0"/>
          <w:bCs w:val="0"/>
          <w:sz w:val="21"/>
          <w:szCs w:val="21"/>
        </w:rPr>
        <w:t>ess intervention measures</w:t>
      </w:r>
      <w:r>
        <w:rPr>
          <w:rFonts w:ascii="Times New Roman" w:hAnsi="Times New Roman"/>
          <w:sz w:val="21"/>
          <w:szCs w:val="21"/>
        </w:rPr>
        <w:t xml:space="preserve"> during the undergraduate period. Appropriate curriculum design and exercise guidance may help promote the continuous development of students’ physical fitness.</w:t>
      </w:r>
    </w:p>
    <w:p w14:paraId="06177C03"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4.2 Possible Mechanisms Underlying Gender Differences in Physical Fitn</w:t>
      </w:r>
      <w:r>
        <w:rPr>
          <w:rFonts w:ascii="Times New Roman" w:hAnsi="Times New Roman" w:hint="default"/>
          <w:b w:val="0"/>
          <w:bCs w:val="0"/>
          <w:sz w:val="21"/>
          <w:szCs w:val="21"/>
        </w:rPr>
        <w:t>ess Changes</w:t>
      </w:r>
    </w:p>
    <w:p w14:paraId="4DFD3856"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The results showed that the </w:t>
      </w:r>
      <w:r>
        <w:rPr>
          <w:rStyle w:val="Strong"/>
          <w:rFonts w:ascii="Times New Roman" w:hAnsi="Times New Roman"/>
          <w:b w:val="0"/>
          <w:bCs w:val="0"/>
          <w:sz w:val="21"/>
          <w:szCs w:val="21"/>
        </w:rPr>
        <w:t>academic year × gender</w:t>
      </w:r>
      <w:r>
        <w:rPr>
          <w:rFonts w:ascii="Times New Roman" w:hAnsi="Times New Roman"/>
          <w:sz w:val="21"/>
          <w:szCs w:val="21"/>
        </w:rPr>
        <w:t xml:space="preserve"> interaction was statistically significant for both </w:t>
      </w:r>
      <w:r>
        <w:rPr>
          <w:rStyle w:val="Strong"/>
          <w:rFonts w:ascii="Times New Roman" w:hAnsi="Times New Roman"/>
          <w:b w:val="0"/>
          <w:bCs w:val="0"/>
          <w:sz w:val="21"/>
          <w:szCs w:val="21"/>
        </w:rPr>
        <w:t>vital capacity</w:t>
      </w:r>
      <w:r>
        <w:rPr>
          <w:rFonts w:ascii="Times New Roman" w:hAnsi="Times New Roman"/>
          <w:sz w:val="21"/>
          <w:szCs w:val="21"/>
        </w:rPr>
        <w:t xml:space="preserve"> and </w:t>
      </w:r>
      <w:r>
        <w:rPr>
          <w:rStyle w:val="Strong"/>
          <w:rFonts w:ascii="Times New Roman" w:hAnsi="Times New Roman"/>
          <w:b w:val="0"/>
          <w:bCs w:val="0"/>
          <w:sz w:val="21"/>
          <w:szCs w:val="21"/>
        </w:rPr>
        <w:t>standing long jump</w:t>
      </w:r>
      <w:r>
        <w:rPr>
          <w:rFonts w:ascii="Times New Roman" w:hAnsi="Times New Roman"/>
          <w:sz w:val="21"/>
          <w:szCs w:val="21"/>
        </w:rPr>
        <w:t>, indicating that the patterns of change in physical fitness across academic years differed by gender. Sp</w:t>
      </w:r>
      <w:r>
        <w:rPr>
          <w:rFonts w:ascii="Times New Roman" w:hAnsi="Times New Roman"/>
          <w:sz w:val="21"/>
          <w:szCs w:val="21"/>
        </w:rPr>
        <w:t xml:space="preserve">ecifically, the magnitude of improvement in physical fitness indicators across academic years was generally greater in male students than in female students, while the </w:t>
      </w:r>
      <w:r>
        <w:rPr>
          <w:rStyle w:val="Strong"/>
          <w:rFonts w:ascii="Times New Roman" w:hAnsi="Times New Roman"/>
          <w:b w:val="0"/>
          <w:bCs w:val="0"/>
          <w:sz w:val="21"/>
          <w:szCs w:val="21"/>
        </w:rPr>
        <w:t>academic-year gain</w:t>
      </w:r>
      <w:r>
        <w:rPr>
          <w:rFonts w:ascii="Times New Roman" w:hAnsi="Times New Roman"/>
          <w:sz w:val="21"/>
          <w:szCs w:val="21"/>
        </w:rPr>
        <w:t xml:space="preserve"> in physical fitness among female students was relatively limited duri</w:t>
      </w:r>
      <w:r>
        <w:rPr>
          <w:rFonts w:ascii="Times New Roman" w:hAnsi="Times New Roman"/>
          <w:sz w:val="21"/>
          <w:szCs w:val="21"/>
        </w:rPr>
        <w:t>ng the undergraduate period.</w:t>
      </w:r>
    </w:p>
    <w:p w14:paraId="06670C65"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This difference may be jointly associated with </w:t>
      </w:r>
      <w:r>
        <w:rPr>
          <w:rStyle w:val="Strong"/>
          <w:rFonts w:ascii="Times New Roman" w:hAnsi="Times New Roman"/>
          <w:b w:val="0"/>
          <w:bCs w:val="0"/>
          <w:sz w:val="21"/>
          <w:szCs w:val="21"/>
        </w:rPr>
        <w:t>behavioral</w:t>
      </w:r>
      <w:r>
        <w:rPr>
          <w:rFonts w:ascii="Times New Roman" w:hAnsi="Times New Roman"/>
          <w:sz w:val="21"/>
          <w:szCs w:val="21"/>
        </w:rPr>
        <w:t xml:space="preserve"> and </w:t>
      </w:r>
      <w:r>
        <w:rPr>
          <w:rStyle w:val="Strong"/>
          <w:rFonts w:ascii="Times New Roman" w:hAnsi="Times New Roman"/>
          <w:b w:val="0"/>
          <w:bCs w:val="0"/>
          <w:sz w:val="21"/>
          <w:szCs w:val="21"/>
        </w:rPr>
        <w:t>physiological</w:t>
      </w:r>
      <w:r>
        <w:rPr>
          <w:rFonts w:ascii="Times New Roman" w:hAnsi="Times New Roman"/>
          <w:sz w:val="21"/>
          <w:szCs w:val="21"/>
        </w:rPr>
        <w:t xml:space="preserve"> factors. From a behavioral perspective, previous studies have shown that female students generally participate in lower levels of physical activity, wi</w:t>
      </w:r>
      <w:r>
        <w:rPr>
          <w:rFonts w:ascii="Times New Roman" w:hAnsi="Times New Roman"/>
          <w:sz w:val="21"/>
          <w:szCs w:val="21"/>
        </w:rPr>
        <w:t>th lower exercise frequency and intensity than male students during university, and that their enthusiasm for sports participation tends to decline more markedly with advancing academic year [13][14][15]. From a physiological perspective, males and females</w:t>
      </w:r>
      <w:r>
        <w:rPr>
          <w:rFonts w:ascii="Times New Roman" w:hAnsi="Times New Roman"/>
          <w:sz w:val="21"/>
          <w:szCs w:val="21"/>
        </w:rPr>
        <w:t xml:space="preserve"> differ in </w:t>
      </w:r>
      <w:r>
        <w:rPr>
          <w:rStyle w:val="Strong"/>
          <w:rFonts w:ascii="Times New Roman" w:hAnsi="Times New Roman"/>
          <w:b w:val="0"/>
          <w:bCs w:val="0"/>
          <w:sz w:val="21"/>
          <w:szCs w:val="21"/>
        </w:rPr>
        <w:t>muscle strength</w:t>
      </w:r>
      <w:r>
        <w:rPr>
          <w:rFonts w:ascii="Times New Roman" w:hAnsi="Times New Roman"/>
          <w:sz w:val="21"/>
          <w:szCs w:val="21"/>
        </w:rPr>
        <w:t xml:space="preserve">, </w:t>
      </w:r>
      <w:r>
        <w:rPr>
          <w:rStyle w:val="Strong"/>
          <w:rFonts w:ascii="Times New Roman" w:hAnsi="Times New Roman"/>
          <w:b w:val="0"/>
          <w:bCs w:val="0"/>
          <w:sz w:val="21"/>
          <w:szCs w:val="21"/>
        </w:rPr>
        <w:t>baseline cardiopulmonary function</w:t>
      </w:r>
      <w:r>
        <w:rPr>
          <w:rFonts w:ascii="Times New Roman" w:hAnsi="Times New Roman"/>
          <w:sz w:val="21"/>
          <w:szCs w:val="21"/>
        </w:rPr>
        <w:t xml:space="preserve">, and </w:t>
      </w:r>
      <w:r>
        <w:rPr>
          <w:rStyle w:val="Strong"/>
          <w:rFonts w:ascii="Times New Roman" w:hAnsi="Times New Roman"/>
          <w:b w:val="0"/>
          <w:bCs w:val="0"/>
          <w:sz w:val="21"/>
          <w:szCs w:val="21"/>
        </w:rPr>
        <w:t xml:space="preserve">growth, </w:t>
      </w:r>
      <w:r>
        <w:rPr>
          <w:rStyle w:val="Strong"/>
          <w:rFonts w:ascii="Times New Roman" w:hAnsi="Times New Roman"/>
          <w:b w:val="0"/>
          <w:bCs w:val="0"/>
          <w:sz w:val="21"/>
          <w:szCs w:val="21"/>
        </w:rPr>
        <w:lastRenderedPageBreak/>
        <w:t>development, and adaptability</w:t>
      </w:r>
      <w:r>
        <w:rPr>
          <w:rFonts w:ascii="Times New Roman" w:hAnsi="Times New Roman"/>
          <w:sz w:val="21"/>
          <w:szCs w:val="21"/>
        </w:rPr>
        <w:t>, and these differences may influence how physical fitness indicators change across academic years [16][17].</w:t>
      </w:r>
    </w:p>
    <w:p w14:paraId="3A53274E"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It should be noted that the above explanati</w:t>
      </w:r>
      <w:r>
        <w:rPr>
          <w:rFonts w:ascii="Times New Roman" w:hAnsi="Times New Roman"/>
          <w:sz w:val="21"/>
          <w:szCs w:val="21"/>
        </w:rPr>
        <w:t xml:space="preserve">ons are mainly based on reasonable inferences drawn from previous studies and the observed results, and therefore cannot support causal conclusions. Future research should incorporate information on </w:t>
      </w:r>
      <w:r>
        <w:rPr>
          <w:rStyle w:val="Strong"/>
          <w:rFonts w:ascii="Times New Roman" w:hAnsi="Times New Roman"/>
          <w:b w:val="0"/>
          <w:bCs w:val="0"/>
          <w:sz w:val="21"/>
          <w:szCs w:val="21"/>
        </w:rPr>
        <w:t>physical activity level</w:t>
      </w:r>
      <w:r>
        <w:rPr>
          <w:rFonts w:ascii="Times New Roman" w:hAnsi="Times New Roman"/>
          <w:sz w:val="21"/>
          <w:szCs w:val="21"/>
        </w:rPr>
        <w:t xml:space="preserve">, </w:t>
      </w:r>
      <w:r>
        <w:rPr>
          <w:rStyle w:val="Strong"/>
          <w:rFonts w:ascii="Times New Roman" w:hAnsi="Times New Roman"/>
          <w:b w:val="0"/>
          <w:bCs w:val="0"/>
          <w:sz w:val="21"/>
          <w:szCs w:val="21"/>
        </w:rPr>
        <w:t>course participation</w:t>
      </w:r>
      <w:r>
        <w:rPr>
          <w:rFonts w:ascii="Times New Roman" w:hAnsi="Times New Roman"/>
          <w:sz w:val="21"/>
          <w:szCs w:val="21"/>
        </w:rPr>
        <w:t xml:space="preserve">, and </w:t>
      </w:r>
      <w:r>
        <w:rPr>
          <w:rStyle w:val="Strong"/>
          <w:rFonts w:ascii="Times New Roman" w:hAnsi="Times New Roman"/>
          <w:b w:val="0"/>
          <w:bCs w:val="0"/>
          <w:sz w:val="21"/>
          <w:szCs w:val="21"/>
        </w:rPr>
        <w:t>traini</w:t>
      </w:r>
      <w:r>
        <w:rPr>
          <w:rStyle w:val="Strong"/>
          <w:rFonts w:ascii="Times New Roman" w:hAnsi="Times New Roman"/>
          <w:b w:val="0"/>
          <w:bCs w:val="0"/>
          <w:sz w:val="21"/>
          <w:szCs w:val="21"/>
        </w:rPr>
        <w:t>ng load</w:t>
      </w:r>
      <w:r>
        <w:rPr>
          <w:rFonts w:ascii="Times New Roman" w:hAnsi="Times New Roman"/>
          <w:sz w:val="21"/>
          <w:szCs w:val="21"/>
        </w:rPr>
        <w:t xml:space="preserve"> to further explore the mechanisms through which different behavioral factors contribute to the formation of gender differences.</w:t>
      </w:r>
    </w:p>
    <w:p w14:paraId="2317A00C"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4.3 Cohort Effects and the Influence of Historical Context</w:t>
      </w:r>
    </w:p>
    <w:p w14:paraId="5C63B57D"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The results of this study showed that, after controlling for </w:t>
      </w:r>
      <w:r>
        <w:rPr>
          <w:rFonts w:ascii="Times New Roman" w:hAnsi="Times New Roman"/>
          <w:sz w:val="21"/>
          <w:szCs w:val="21"/>
        </w:rPr>
        <w:t xml:space="preserve">academic year and gender, </w:t>
      </w:r>
      <w:r>
        <w:rPr>
          <w:rStyle w:val="Strong"/>
          <w:rFonts w:ascii="Times New Roman" w:hAnsi="Times New Roman"/>
          <w:b w:val="0"/>
          <w:bCs w:val="0"/>
          <w:sz w:val="21"/>
          <w:szCs w:val="21"/>
        </w:rPr>
        <w:t>year of enrollment</w:t>
      </w:r>
      <w:r>
        <w:rPr>
          <w:rFonts w:ascii="Times New Roman" w:hAnsi="Times New Roman"/>
          <w:sz w:val="21"/>
          <w:szCs w:val="21"/>
        </w:rPr>
        <w:t xml:space="preserve"> still had a significant effect on some physical fitness indicators, suggesting that changes in undergraduate students’ physical fitness may be shaped not only by individual developmental factors but also by broa</w:t>
      </w:r>
      <w:r>
        <w:rPr>
          <w:rFonts w:ascii="Times New Roman" w:hAnsi="Times New Roman"/>
          <w:sz w:val="21"/>
          <w:szCs w:val="21"/>
        </w:rPr>
        <w:t xml:space="preserve">der historical and contextual influences [18]. Students from different enrollment cohorts may differ in terms of </w:t>
      </w:r>
      <w:r>
        <w:rPr>
          <w:rStyle w:val="Strong"/>
          <w:rFonts w:ascii="Times New Roman" w:hAnsi="Times New Roman"/>
          <w:b w:val="0"/>
          <w:bCs w:val="0"/>
          <w:sz w:val="21"/>
          <w:szCs w:val="21"/>
        </w:rPr>
        <w:t>growth environment</w:t>
      </w:r>
      <w:r>
        <w:rPr>
          <w:rFonts w:ascii="Times New Roman" w:hAnsi="Times New Roman"/>
          <w:sz w:val="21"/>
          <w:szCs w:val="21"/>
        </w:rPr>
        <w:t xml:space="preserve">, </w:t>
      </w:r>
      <w:r>
        <w:rPr>
          <w:rStyle w:val="Strong"/>
          <w:rFonts w:ascii="Times New Roman" w:hAnsi="Times New Roman"/>
          <w:b w:val="0"/>
          <w:bCs w:val="0"/>
          <w:sz w:val="21"/>
          <w:szCs w:val="21"/>
        </w:rPr>
        <w:t>learning style</w:t>
      </w:r>
      <w:r>
        <w:rPr>
          <w:rFonts w:ascii="Times New Roman" w:hAnsi="Times New Roman"/>
          <w:sz w:val="21"/>
          <w:szCs w:val="21"/>
        </w:rPr>
        <w:t xml:space="preserve">, and </w:t>
      </w:r>
      <w:r>
        <w:rPr>
          <w:rStyle w:val="Strong"/>
          <w:rFonts w:ascii="Times New Roman" w:hAnsi="Times New Roman"/>
          <w:b w:val="0"/>
          <w:bCs w:val="0"/>
          <w:sz w:val="21"/>
          <w:szCs w:val="21"/>
        </w:rPr>
        <w:t>lifestyle</w:t>
      </w:r>
      <w:r>
        <w:rPr>
          <w:rFonts w:ascii="Times New Roman" w:hAnsi="Times New Roman"/>
          <w:sz w:val="21"/>
          <w:szCs w:val="21"/>
        </w:rPr>
        <w:t>, and these differences may, to some extent, affect their physical fitness development.</w:t>
      </w:r>
    </w:p>
    <w:p w14:paraId="78366109"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In rec</w:t>
      </w:r>
      <w:r>
        <w:rPr>
          <w:rFonts w:ascii="Times New Roman" w:hAnsi="Times New Roman"/>
          <w:sz w:val="21"/>
          <w:szCs w:val="21"/>
        </w:rPr>
        <w:t xml:space="preserve">ent years, with the increasing informatization of learning methods and the rise in </w:t>
      </w:r>
      <w:r>
        <w:rPr>
          <w:rStyle w:val="Strong"/>
          <w:rFonts w:ascii="Times New Roman" w:hAnsi="Times New Roman"/>
          <w:b w:val="0"/>
          <w:bCs w:val="0"/>
          <w:sz w:val="21"/>
          <w:szCs w:val="21"/>
        </w:rPr>
        <w:t>sedentary behavior</w:t>
      </w:r>
      <w:r>
        <w:rPr>
          <w:rFonts w:ascii="Times New Roman" w:hAnsi="Times New Roman"/>
          <w:sz w:val="21"/>
          <w:szCs w:val="21"/>
        </w:rPr>
        <w:t>, students’ overall levels of physical activity have shown a declining trend. Previous studies have pointed out that students from different periods differ</w:t>
      </w:r>
      <w:r>
        <w:rPr>
          <w:rFonts w:ascii="Times New Roman" w:hAnsi="Times New Roman"/>
          <w:sz w:val="21"/>
          <w:szCs w:val="21"/>
        </w:rPr>
        <w:t xml:space="preserve"> significantly in both physical fitness levels and exercise behaviors, and that historical context has become an important external factor affecting student physical health [19]. Against this background, examining changes in physical fitness solely from th</w:t>
      </w:r>
      <w:r>
        <w:rPr>
          <w:rFonts w:ascii="Times New Roman" w:hAnsi="Times New Roman"/>
          <w:sz w:val="21"/>
          <w:szCs w:val="21"/>
        </w:rPr>
        <w:t xml:space="preserve">e perspective of academic year may not fully capture the complexity of students’ physical fitness development. Incorporating </w:t>
      </w:r>
      <w:r>
        <w:rPr>
          <w:rStyle w:val="Strong"/>
          <w:rFonts w:ascii="Times New Roman" w:hAnsi="Times New Roman"/>
          <w:b w:val="0"/>
          <w:bCs w:val="0"/>
          <w:sz w:val="21"/>
          <w:szCs w:val="21"/>
        </w:rPr>
        <w:t>year of enrollment</w:t>
      </w:r>
      <w:r>
        <w:rPr>
          <w:rFonts w:ascii="Times New Roman" w:hAnsi="Times New Roman"/>
          <w:sz w:val="21"/>
          <w:szCs w:val="21"/>
        </w:rPr>
        <w:t xml:space="preserve"> into the analysis helps to better understand the temporal characteristics of physical fitness changes among unde</w:t>
      </w:r>
      <w:r>
        <w:rPr>
          <w:rFonts w:ascii="Times New Roman" w:hAnsi="Times New Roman"/>
          <w:sz w:val="21"/>
          <w:szCs w:val="21"/>
        </w:rPr>
        <w:t>rgraduate students.</w:t>
      </w:r>
    </w:p>
    <w:p w14:paraId="5935944C"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From a policy perspective, both the </w:t>
      </w:r>
      <w:r>
        <w:rPr>
          <w:rStyle w:val="Emphasis"/>
          <w:rFonts w:ascii="Times New Roman" w:hAnsi="Times New Roman"/>
          <w:sz w:val="21"/>
          <w:szCs w:val="21"/>
        </w:rPr>
        <w:t>Outline of the Plan for Building a Leading Country in Education (2024–2035)</w:t>
      </w:r>
      <w:r>
        <w:rPr>
          <w:rFonts w:ascii="Times New Roman" w:hAnsi="Times New Roman"/>
          <w:sz w:val="21"/>
          <w:szCs w:val="21"/>
        </w:rPr>
        <w:t xml:space="preserve"> and the </w:t>
      </w:r>
      <w:r>
        <w:rPr>
          <w:rStyle w:val="Emphasis"/>
          <w:rFonts w:ascii="Times New Roman" w:hAnsi="Times New Roman"/>
          <w:sz w:val="21"/>
          <w:szCs w:val="21"/>
        </w:rPr>
        <w:t>Opinions on Implementing the Student Physical Fitness Enhancement Program</w:t>
      </w:r>
      <w:r>
        <w:rPr>
          <w:rFonts w:ascii="Times New Roman" w:hAnsi="Times New Roman"/>
          <w:sz w:val="21"/>
          <w:szCs w:val="21"/>
        </w:rPr>
        <w:t xml:space="preserve"> emphasize the systematic promotion of school physical education reform and student health improvement. From an empirical perspective, the findings of this study suggest </w:t>
      </w:r>
      <w:r>
        <w:rPr>
          <w:rFonts w:ascii="Times New Roman" w:hAnsi="Times New Roman"/>
          <w:sz w:val="21"/>
          <w:szCs w:val="21"/>
        </w:rPr>
        <w:lastRenderedPageBreak/>
        <w:t xml:space="preserve">that, in implementing such policies, it is necessary to fully consider differences in </w:t>
      </w:r>
      <w:r>
        <w:rPr>
          <w:rFonts w:ascii="Times New Roman" w:hAnsi="Times New Roman"/>
          <w:sz w:val="21"/>
          <w:szCs w:val="21"/>
        </w:rPr>
        <w:t>students’ physical fitness development under different historical contexts and to formulate targeted physical education teaching and intervention measures in accordance with local conditions.</w:t>
      </w:r>
    </w:p>
    <w:p w14:paraId="77871587" w14:textId="77777777" w:rsidR="00FF356B" w:rsidRDefault="00093ABF">
      <w:pPr>
        <w:pStyle w:val="Heading3"/>
        <w:widowControl/>
        <w:spacing w:line="360" w:lineRule="auto"/>
        <w:jc w:val="both"/>
        <w:rPr>
          <w:rFonts w:ascii="Times New Roman" w:hAnsi="Times New Roman" w:hint="default"/>
          <w:b w:val="0"/>
          <w:bCs w:val="0"/>
          <w:sz w:val="21"/>
          <w:szCs w:val="21"/>
        </w:rPr>
      </w:pPr>
      <w:r>
        <w:rPr>
          <w:rFonts w:ascii="Times New Roman" w:hAnsi="Times New Roman" w:hint="default"/>
          <w:b w:val="0"/>
          <w:bCs w:val="0"/>
          <w:sz w:val="21"/>
          <w:szCs w:val="21"/>
        </w:rPr>
        <w:t>4.4 Methodological Significance and Limitations</w:t>
      </w:r>
    </w:p>
    <w:p w14:paraId="1451C7CB"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An important met</w:t>
      </w:r>
      <w:r>
        <w:rPr>
          <w:rFonts w:ascii="Times New Roman" w:hAnsi="Times New Roman"/>
          <w:sz w:val="21"/>
          <w:szCs w:val="21"/>
        </w:rPr>
        <w:t xml:space="preserve">hodological feature of this study is the use of </w:t>
      </w:r>
      <w:r>
        <w:rPr>
          <w:rStyle w:val="Strong"/>
          <w:rFonts w:ascii="Times New Roman" w:hAnsi="Times New Roman"/>
          <w:b w:val="0"/>
          <w:bCs w:val="0"/>
          <w:sz w:val="21"/>
          <w:szCs w:val="21"/>
        </w:rPr>
        <w:t>linear mixed-effects models</w:t>
      </w:r>
      <w:r>
        <w:rPr>
          <w:rFonts w:ascii="Times New Roman" w:hAnsi="Times New Roman"/>
          <w:sz w:val="21"/>
          <w:szCs w:val="21"/>
        </w:rPr>
        <w:t xml:space="preserve"> based on longitudinal data to analyze gender differences in changes in undergraduate students’ physical fitness indicators across academic years [20]. Compared with traditional cro</w:t>
      </w:r>
      <w:r>
        <w:rPr>
          <w:rFonts w:ascii="Times New Roman" w:hAnsi="Times New Roman"/>
          <w:sz w:val="21"/>
          <w:szCs w:val="21"/>
        </w:rPr>
        <w:t xml:space="preserve">ss-sectional studies, this approach can simultaneously characterize </w:t>
      </w:r>
      <w:r>
        <w:rPr>
          <w:rStyle w:val="Strong"/>
          <w:rFonts w:ascii="Times New Roman" w:hAnsi="Times New Roman"/>
          <w:b w:val="0"/>
          <w:bCs w:val="0"/>
          <w:sz w:val="21"/>
          <w:szCs w:val="21"/>
        </w:rPr>
        <w:t>between-individual differences</w:t>
      </w:r>
      <w:r>
        <w:rPr>
          <w:rFonts w:ascii="Times New Roman" w:hAnsi="Times New Roman"/>
          <w:sz w:val="21"/>
          <w:szCs w:val="21"/>
        </w:rPr>
        <w:t xml:space="preserve"> and </w:t>
      </w:r>
      <w:r>
        <w:rPr>
          <w:rStyle w:val="Strong"/>
          <w:rFonts w:ascii="Times New Roman" w:hAnsi="Times New Roman"/>
          <w:b w:val="0"/>
          <w:bCs w:val="0"/>
          <w:sz w:val="21"/>
          <w:szCs w:val="21"/>
        </w:rPr>
        <w:t>within-individual change trajectories</w:t>
      </w:r>
      <w:r>
        <w:rPr>
          <w:rFonts w:ascii="Times New Roman" w:hAnsi="Times New Roman"/>
          <w:sz w:val="21"/>
          <w:szCs w:val="21"/>
        </w:rPr>
        <w:t>, thereby providing a clearer understanding of the dynamic features of physical fitness development during undergrad</w:t>
      </w:r>
      <w:r>
        <w:rPr>
          <w:rFonts w:ascii="Times New Roman" w:hAnsi="Times New Roman"/>
          <w:sz w:val="21"/>
          <w:szCs w:val="21"/>
        </w:rPr>
        <w:t xml:space="preserve">uate study. In addition, by introducing covariates such as </w:t>
      </w:r>
      <w:r>
        <w:rPr>
          <w:rStyle w:val="Strong"/>
          <w:rFonts w:ascii="Times New Roman" w:hAnsi="Times New Roman"/>
          <w:b w:val="0"/>
          <w:bCs w:val="0"/>
          <w:sz w:val="21"/>
          <w:szCs w:val="21"/>
        </w:rPr>
        <w:t>year of enrollment</w:t>
      </w:r>
      <w:r>
        <w:rPr>
          <w:rFonts w:ascii="Times New Roman" w:hAnsi="Times New Roman"/>
          <w:sz w:val="21"/>
          <w:szCs w:val="21"/>
        </w:rPr>
        <w:t xml:space="preserve"> and </w:t>
      </w:r>
      <w:r>
        <w:rPr>
          <w:rStyle w:val="Strong"/>
          <w:rFonts w:ascii="Times New Roman" w:hAnsi="Times New Roman"/>
          <w:b w:val="0"/>
          <w:bCs w:val="0"/>
          <w:sz w:val="21"/>
          <w:szCs w:val="21"/>
        </w:rPr>
        <w:t>years of suspension</w:t>
      </w:r>
      <w:r>
        <w:rPr>
          <w:rFonts w:ascii="Times New Roman" w:hAnsi="Times New Roman"/>
          <w:sz w:val="21"/>
          <w:szCs w:val="21"/>
        </w:rPr>
        <w:t>, this study partially controlled for the potential effects of historical context and discontinuous enrollment experience on changes in physical fitness, t</w:t>
      </w:r>
      <w:r>
        <w:rPr>
          <w:rFonts w:ascii="Times New Roman" w:hAnsi="Times New Roman"/>
          <w:sz w:val="21"/>
          <w:szCs w:val="21"/>
        </w:rPr>
        <w:t>hereby improving the robustness of the interpretation of the results.</w:t>
      </w:r>
    </w:p>
    <w:p w14:paraId="206A7204"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For the </w:t>
      </w:r>
      <w:r>
        <w:rPr>
          <w:rStyle w:val="Strong"/>
          <w:rFonts w:ascii="Times New Roman" w:hAnsi="Times New Roman"/>
          <w:b w:val="0"/>
          <w:bCs w:val="0"/>
          <w:sz w:val="21"/>
          <w:szCs w:val="21"/>
        </w:rPr>
        <w:t>50 m sprint</w:t>
      </w:r>
      <w:r>
        <w:rPr>
          <w:rFonts w:ascii="Times New Roman" w:hAnsi="Times New Roman"/>
          <w:sz w:val="21"/>
          <w:szCs w:val="21"/>
        </w:rPr>
        <w:t xml:space="preserve"> indicator, this study converted sprint performance into </w:t>
      </w:r>
      <w:r>
        <w:rPr>
          <w:rStyle w:val="Strong"/>
          <w:rFonts w:ascii="Times New Roman" w:hAnsi="Times New Roman"/>
          <w:b w:val="0"/>
          <w:bCs w:val="0"/>
          <w:sz w:val="21"/>
          <w:szCs w:val="21"/>
        </w:rPr>
        <w:t>speed</w:t>
      </w:r>
      <w:r>
        <w:rPr>
          <w:rFonts w:ascii="Times New Roman" w:hAnsi="Times New Roman"/>
          <w:sz w:val="21"/>
          <w:szCs w:val="21"/>
        </w:rPr>
        <w:t xml:space="preserve"> and analyzed it using </w:t>
      </w:r>
      <w:r>
        <w:rPr>
          <w:rStyle w:val="Strong"/>
          <w:rFonts w:ascii="Times New Roman" w:hAnsi="Times New Roman"/>
          <w:b w:val="0"/>
          <w:bCs w:val="0"/>
          <w:sz w:val="21"/>
          <w:szCs w:val="21"/>
        </w:rPr>
        <w:t>generalized estimating equations</w:t>
      </w:r>
      <w:r>
        <w:rPr>
          <w:rFonts w:ascii="Times New Roman" w:hAnsi="Times New Roman"/>
          <w:sz w:val="21"/>
          <w:szCs w:val="21"/>
        </w:rPr>
        <w:t>, fully accounting for the correlation structure o</w:t>
      </w:r>
      <w:r>
        <w:rPr>
          <w:rFonts w:ascii="Times New Roman" w:hAnsi="Times New Roman"/>
          <w:sz w:val="21"/>
          <w:szCs w:val="21"/>
        </w:rPr>
        <w:t>f repeated-measures data. In addition, robustness tests were conducted under different sample-screening rules, and the direction of the main effects remained consistent, which further enhanced the reliability of the study findings.</w:t>
      </w:r>
    </w:p>
    <w:p w14:paraId="2EA4D0EE"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Nevertheless, this study</w:t>
      </w:r>
      <w:r>
        <w:rPr>
          <w:rFonts w:ascii="Times New Roman" w:hAnsi="Times New Roman"/>
          <w:sz w:val="21"/>
          <w:szCs w:val="21"/>
        </w:rPr>
        <w:t xml:space="preserve"> still has certain limitations. First, the study population was drawn from a </w:t>
      </w:r>
      <w:r>
        <w:rPr>
          <w:rStyle w:val="Strong"/>
          <w:rFonts w:ascii="Times New Roman" w:hAnsi="Times New Roman"/>
          <w:b w:val="0"/>
          <w:bCs w:val="0"/>
          <w:sz w:val="21"/>
          <w:szCs w:val="21"/>
        </w:rPr>
        <w:t>single university</w:t>
      </w:r>
      <w:r>
        <w:rPr>
          <w:rFonts w:ascii="Times New Roman" w:hAnsi="Times New Roman"/>
          <w:sz w:val="21"/>
          <w:szCs w:val="21"/>
        </w:rPr>
        <w:t>, which somewhat limits the representativeness of the sample; therefore, caution is needed when generalizing the findings to other universities or regions. Second</w:t>
      </w:r>
      <w:r>
        <w:rPr>
          <w:rFonts w:ascii="Times New Roman" w:hAnsi="Times New Roman"/>
          <w:sz w:val="21"/>
          <w:szCs w:val="21"/>
        </w:rPr>
        <w:t xml:space="preserve">, due to limitations in data availability, behavioral variables such as </w:t>
      </w:r>
      <w:r>
        <w:rPr>
          <w:rStyle w:val="Strong"/>
          <w:rFonts w:ascii="Times New Roman" w:hAnsi="Times New Roman"/>
          <w:b w:val="0"/>
          <w:bCs w:val="0"/>
          <w:sz w:val="21"/>
          <w:szCs w:val="21"/>
        </w:rPr>
        <w:t>physical activity level</w:t>
      </w:r>
      <w:r>
        <w:rPr>
          <w:rFonts w:ascii="Times New Roman" w:hAnsi="Times New Roman"/>
          <w:sz w:val="21"/>
          <w:szCs w:val="21"/>
        </w:rPr>
        <w:t xml:space="preserve">, </w:t>
      </w:r>
      <w:r>
        <w:rPr>
          <w:rStyle w:val="Strong"/>
          <w:rFonts w:ascii="Times New Roman" w:hAnsi="Times New Roman"/>
          <w:b w:val="0"/>
          <w:bCs w:val="0"/>
          <w:sz w:val="21"/>
          <w:szCs w:val="21"/>
        </w:rPr>
        <w:t>participation in physical education courses</w:t>
      </w:r>
      <w:r>
        <w:rPr>
          <w:rFonts w:ascii="Times New Roman" w:hAnsi="Times New Roman"/>
          <w:sz w:val="21"/>
          <w:szCs w:val="21"/>
        </w:rPr>
        <w:t xml:space="preserve">, and </w:t>
      </w:r>
      <w:r>
        <w:rPr>
          <w:rStyle w:val="Strong"/>
          <w:rFonts w:ascii="Times New Roman" w:hAnsi="Times New Roman"/>
          <w:b w:val="0"/>
          <w:bCs w:val="0"/>
          <w:sz w:val="21"/>
          <w:szCs w:val="21"/>
        </w:rPr>
        <w:t>lifestyle factors</w:t>
      </w:r>
      <w:r>
        <w:rPr>
          <w:rFonts w:ascii="Times New Roman" w:hAnsi="Times New Roman"/>
          <w:sz w:val="21"/>
          <w:szCs w:val="21"/>
        </w:rPr>
        <w:t xml:space="preserve"> were not included. The roles of these factors in physical fitness changes warrant further in</w:t>
      </w:r>
      <w:r>
        <w:rPr>
          <w:rFonts w:ascii="Times New Roman" w:hAnsi="Times New Roman"/>
          <w:sz w:val="21"/>
          <w:szCs w:val="21"/>
        </w:rPr>
        <w:t xml:space="preserve">vestigation in future studies. Future research may combine </w:t>
      </w:r>
      <w:r>
        <w:rPr>
          <w:rStyle w:val="Strong"/>
          <w:rFonts w:ascii="Times New Roman" w:hAnsi="Times New Roman"/>
          <w:b w:val="0"/>
          <w:bCs w:val="0"/>
          <w:sz w:val="21"/>
          <w:szCs w:val="21"/>
        </w:rPr>
        <w:t>multicenter samples</w:t>
      </w:r>
      <w:r>
        <w:rPr>
          <w:rFonts w:ascii="Times New Roman" w:hAnsi="Times New Roman"/>
          <w:sz w:val="21"/>
          <w:szCs w:val="21"/>
        </w:rPr>
        <w:t xml:space="preserve"> with richer behavioral data to achieve a more comprehensive understanding of the mechanisms underlying physical fitness development among undergraduate students.</w:t>
      </w:r>
    </w:p>
    <w:p w14:paraId="03F00D43" w14:textId="77777777" w:rsidR="00FF356B" w:rsidRDefault="00093ABF">
      <w:pPr>
        <w:pStyle w:val="Heading2"/>
        <w:keepNext w:val="0"/>
        <w:keepLines w:val="0"/>
        <w:widowControl/>
        <w:spacing w:line="360" w:lineRule="auto"/>
        <w:rPr>
          <w:rFonts w:ascii="Times New Roman" w:hAnsi="Times New Roman" w:cs="Times New Roman"/>
          <w:color w:val="auto"/>
          <w:sz w:val="21"/>
          <w:szCs w:val="21"/>
        </w:rPr>
      </w:pPr>
      <w:r>
        <w:rPr>
          <w:rFonts w:ascii="Times New Roman" w:hAnsi="Times New Roman" w:cs="Times New Roman"/>
          <w:color w:val="auto"/>
          <w:sz w:val="21"/>
          <w:szCs w:val="21"/>
        </w:rPr>
        <w:lastRenderedPageBreak/>
        <w:t>5 Conclusions</w:t>
      </w:r>
    </w:p>
    <w:p w14:paraId="2B396BCD"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B</w:t>
      </w:r>
      <w:r>
        <w:rPr>
          <w:rFonts w:ascii="Times New Roman" w:hAnsi="Times New Roman"/>
          <w:sz w:val="21"/>
          <w:szCs w:val="21"/>
        </w:rPr>
        <w:t xml:space="preserve">ased on the longitudinal physical fitness data of undergraduate students from a university between </w:t>
      </w:r>
      <w:r>
        <w:rPr>
          <w:rStyle w:val="Strong"/>
          <w:rFonts w:ascii="Times New Roman" w:hAnsi="Times New Roman"/>
          <w:b w:val="0"/>
          <w:bCs w:val="0"/>
          <w:sz w:val="21"/>
          <w:szCs w:val="21"/>
        </w:rPr>
        <w:t>2013 and 2025</w:t>
      </w:r>
      <w:r>
        <w:rPr>
          <w:rFonts w:ascii="Times New Roman" w:hAnsi="Times New Roman"/>
          <w:sz w:val="21"/>
          <w:szCs w:val="21"/>
        </w:rPr>
        <w:t>, this study analyzed the gender differences in changes in physical fitness indicators across academic years and drew the following main conclus</w:t>
      </w:r>
      <w:r>
        <w:rPr>
          <w:rFonts w:ascii="Times New Roman" w:hAnsi="Times New Roman"/>
          <w:sz w:val="21"/>
          <w:szCs w:val="21"/>
        </w:rPr>
        <w:t>ions:</w:t>
      </w:r>
    </w:p>
    <w:p w14:paraId="54E9749C"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(1) During the undergraduate period, physical fitness indicators such as </w:t>
      </w:r>
      <w:r>
        <w:rPr>
          <w:rStyle w:val="Strong"/>
          <w:rFonts w:ascii="Times New Roman" w:hAnsi="Times New Roman"/>
          <w:b w:val="0"/>
          <w:bCs w:val="0"/>
          <w:sz w:val="21"/>
          <w:szCs w:val="21"/>
        </w:rPr>
        <w:t>vital capacity</w:t>
      </w:r>
      <w:r>
        <w:rPr>
          <w:rFonts w:ascii="Times New Roman" w:hAnsi="Times New Roman"/>
          <w:sz w:val="21"/>
          <w:szCs w:val="21"/>
        </w:rPr>
        <w:t xml:space="preserve"> and </w:t>
      </w:r>
      <w:r>
        <w:rPr>
          <w:rStyle w:val="Strong"/>
          <w:rFonts w:ascii="Times New Roman" w:hAnsi="Times New Roman"/>
          <w:b w:val="0"/>
          <w:bCs w:val="0"/>
          <w:sz w:val="21"/>
          <w:szCs w:val="21"/>
        </w:rPr>
        <w:t>standing long jump</w:t>
      </w:r>
      <w:r>
        <w:rPr>
          <w:rFonts w:ascii="Times New Roman" w:hAnsi="Times New Roman"/>
          <w:sz w:val="21"/>
          <w:szCs w:val="21"/>
        </w:rPr>
        <w:t xml:space="preserve"> showed significant improvement with advancing academic year, indicating that undergraduate students’ physical fitness still retains a certa</w:t>
      </w:r>
      <w:r>
        <w:rPr>
          <w:rFonts w:ascii="Times New Roman" w:hAnsi="Times New Roman"/>
          <w:sz w:val="21"/>
          <w:szCs w:val="21"/>
        </w:rPr>
        <w:t>in degree of developmental potential.</w:t>
      </w:r>
    </w:p>
    <w:p w14:paraId="1B2B560C"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(2) Significant </w:t>
      </w:r>
      <w:r>
        <w:rPr>
          <w:rStyle w:val="Strong"/>
          <w:rFonts w:ascii="Times New Roman" w:hAnsi="Times New Roman"/>
          <w:b w:val="0"/>
          <w:bCs w:val="0"/>
          <w:sz w:val="21"/>
          <w:szCs w:val="21"/>
        </w:rPr>
        <w:t>gender differences</w:t>
      </w:r>
      <w:r>
        <w:rPr>
          <w:rFonts w:ascii="Times New Roman" w:hAnsi="Times New Roman"/>
          <w:sz w:val="21"/>
          <w:szCs w:val="21"/>
        </w:rPr>
        <w:t xml:space="preserve"> were observed in physical fitness indicators, with male students generally performing better than female students. Moreover, the </w:t>
      </w:r>
      <w:r>
        <w:rPr>
          <w:rStyle w:val="Strong"/>
          <w:rFonts w:ascii="Times New Roman" w:hAnsi="Times New Roman"/>
          <w:b w:val="0"/>
          <w:bCs w:val="0"/>
          <w:sz w:val="21"/>
          <w:szCs w:val="21"/>
        </w:rPr>
        <w:t>academic year × gender</w:t>
      </w:r>
      <w:r>
        <w:rPr>
          <w:rFonts w:ascii="Times New Roman" w:hAnsi="Times New Roman"/>
          <w:sz w:val="21"/>
          <w:szCs w:val="21"/>
        </w:rPr>
        <w:t xml:space="preserve"> interaction suggested that the patterns of physical fitness change across academic years differed by ge</w:t>
      </w:r>
      <w:r>
        <w:rPr>
          <w:rFonts w:ascii="Times New Roman" w:hAnsi="Times New Roman"/>
          <w:sz w:val="21"/>
          <w:szCs w:val="21"/>
        </w:rPr>
        <w:t xml:space="preserve">nder, and the </w:t>
      </w:r>
      <w:r>
        <w:rPr>
          <w:rStyle w:val="Strong"/>
          <w:rFonts w:ascii="Times New Roman" w:hAnsi="Times New Roman"/>
          <w:b w:val="0"/>
          <w:bCs w:val="0"/>
          <w:sz w:val="21"/>
          <w:szCs w:val="21"/>
        </w:rPr>
        <w:t>academic-year gain</w:t>
      </w:r>
      <w:r>
        <w:rPr>
          <w:rFonts w:ascii="Times New Roman" w:hAnsi="Times New Roman"/>
          <w:sz w:val="21"/>
          <w:szCs w:val="21"/>
        </w:rPr>
        <w:t xml:space="preserve"> in physical fitness was relatively limited among female students.</w:t>
      </w:r>
    </w:p>
    <w:p w14:paraId="6890C7E0"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 xml:space="preserve">(3) </w:t>
      </w:r>
      <w:r>
        <w:rPr>
          <w:rStyle w:val="Strong"/>
          <w:rFonts w:ascii="Times New Roman" w:hAnsi="Times New Roman"/>
          <w:b w:val="0"/>
          <w:bCs w:val="0"/>
          <w:sz w:val="21"/>
          <w:szCs w:val="21"/>
        </w:rPr>
        <w:t>Year of enrollment</w:t>
      </w:r>
      <w:r>
        <w:rPr>
          <w:rFonts w:ascii="Times New Roman" w:hAnsi="Times New Roman"/>
          <w:sz w:val="21"/>
          <w:szCs w:val="21"/>
        </w:rPr>
        <w:t xml:space="preserve"> had an independent effect on physical fitness indicators, suggesting that historical and contextual factors should be taken into accou</w:t>
      </w:r>
      <w:r>
        <w:rPr>
          <w:rFonts w:ascii="Times New Roman" w:hAnsi="Times New Roman"/>
          <w:sz w:val="21"/>
          <w:szCs w:val="21"/>
        </w:rPr>
        <w:t>nt when analyzing changes in physical fitness among undergraduate students.</w:t>
      </w:r>
    </w:p>
    <w:p w14:paraId="1550BB16" w14:textId="77777777" w:rsidR="00FF356B" w:rsidRDefault="00093ABF">
      <w:pPr>
        <w:pStyle w:val="NormalWeb"/>
        <w:widowControl/>
        <w:spacing w:line="360" w:lineRule="auto"/>
        <w:jc w:val="both"/>
        <w:rPr>
          <w:rFonts w:ascii="Times New Roman" w:hAnsi="Times New Roman"/>
          <w:sz w:val="21"/>
          <w:szCs w:val="21"/>
        </w:rPr>
      </w:pPr>
      <w:r>
        <w:rPr>
          <w:rFonts w:ascii="Times New Roman" w:hAnsi="Times New Roman"/>
          <w:sz w:val="21"/>
          <w:szCs w:val="21"/>
        </w:rPr>
        <w:t>In summary, based on longitudinal data, this study provides empirical evidence for understanding the developmental characteristics of physical fitness and its gender differences am</w:t>
      </w:r>
      <w:r>
        <w:rPr>
          <w:rFonts w:ascii="Times New Roman" w:hAnsi="Times New Roman"/>
          <w:sz w:val="21"/>
          <w:szCs w:val="21"/>
        </w:rPr>
        <w:t>ong undergraduate students, and offers useful implications for the reform of university physical education and the promotion of student physical health.</w:t>
      </w:r>
    </w:p>
    <w:p w14:paraId="5526053F" w14:textId="77777777" w:rsidR="00FF356B" w:rsidRDefault="00093ABF">
      <w:pPr>
        <w:pStyle w:val="Heading2"/>
        <w:keepNext w:val="0"/>
        <w:keepLines w:val="0"/>
        <w:widowControl/>
        <w:spacing w:line="360" w:lineRule="auto"/>
        <w:rPr>
          <w:rFonts w:ascii="Times New Roman" w:hAnsi="Times New Roman" w:cs="Times New Roman"/>
          <w:b w:val="0"/>
          <w:bCs w:val="0"/>
          <w:color w:val="auto"/>
          <w:sz w:val="21"/>
          <w:szCs w:val="21"/>
        </w:rPr>
      </w:pPr>
      <w:r>
        <w:rPr>
          <w:rFonts w:ascii="Times New Roman" w:hAnsi="Times New Roman" w:cs="Times New Roman"/>
          <w:b w:val="0"/>
          <w:bCs w:val="0"/>
          <w:color w:val="auto"/>
          <w:sz w:val="21"/>
          <w:szCs w:val="21"/>
        </w:rPr>
        <w:t>Appendix</w:t>
      </w:r>
    </w:p>
    <w:p w14:paraId="2EA41BF4" w14:textId="77777777" w:rsidR="00FF356B" w:rsidRDefault="00093ABF">
      <w:pPr>
        <w:pStyle w:val="NormalWeb"/>
        <w:widowControl/>
        <w:spacing w:line="360" w:lineRule="auto"/>
        <w:jc w:val="center"/>
        <w:rPr>
          <w:rFonts w:ascii="Times New Roman" w:hAnsi="Times New Roman"/>
          <w:i/>
          <w:iCs/>
          <w:sz w:val="21"/>
          <w:szCs w:val="21"/>
        </w:rPr>
      </w:pPr>
      <w:r>
        <w:rPr>
          <w:rStyle w:val="Strong"/>
          <w:rFonts w:ascii="Times New Roman" w:hAnsi="Times New Roman"/>
          <w:b w:val="0"/>
          <w:bCs w:val="0"/>
          <w:i/>
          <w:iCs/>
          <w:sz w:val="21"/>
          <w:szCs w:val="21"/>
        </w:rPr>
        <w:t xml:space="preserve">Supplementary Table S1. Results of the Linear Mixed-Effects Model (REML) for Sit-and-Reach in </w:t>
      </w:r>
      <w:r>
        <w:rPr>
          <w:rStyle w:val="Strong"/>
          <w:rFonts w:ascii="Times New Roman" w:hAnsi="Times New Roman"/>
          <w:b w:val="0"/>
          <w:bCs w:val="0"/>
          <w:i/>
          <w:iCs/>
          <w:sz w:val="21"/>
          <w:szCs w:val="21"/>
        </w:rPr>
        <w:t>Relation to Academic Year, Gender, and Their Interaction</w:t>
      </w:r>
    </w:p>
    <w:tbl>
      <w:tblPr>
        <w:tblW w:w="9795" w:type="dxa"/>
        <w:jc w:val="center"/>
        <w:tblBorders>
          <w:top w:val="single" w:sz="12" w:space="0" w:color="auto"/>
          <w:bottom w:val="single" w:sz="12" w:space="0" w:color="auto"/>
        </w:tblBorders>
        <w:tblLook w:val="04A0" w:firstRow="1" w:lastRow="0" w:firstColumn="1" w:lastColumn="0" w:noHBand="0" w:noVBand="1"/>
      </w:tblPr>
      <w:tblGrid>
        <w:gridCol w:w="2219"/>
        <w:gridCol w:w="1392"/>
        <w:gridCol w:w="1711"/>
        <w:gridCol w:w="1071"/>
        <w:gridCol w:w="966"/>
        <w:gridCol w:w="2436"/>
      </w:tblGrid>
      <w:tr w:rsidR="00FF356B" w14:paraId="5A23E06F" w14:textId="77777777">
        <w:trPr>
          <w:tblHeader/>
          <w:jc w:val="center"/>
        </w:trPr>
        <w:tc>
          <w:tcPr>
            <w:tcW w:w="2219" w:type="dxa"/>
            <w:tcBorders>
              <w:bottom w:val="single" w:sz="10" w:space="0" w:color="auto"/>
            </w:tcBorders>
            <w:vAlign w:val="center"/>
          </w:tcPr>
          <w:p w14:paraId="68D11FD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Variables</w:t>
            </w:r>
          </w:p>
        </w:tc>
        <w:tc>
          <w:tcPr>
            <w:tcW w:w="1392" w:type="dxa"/>
            <w:tcBorders>
              <w:bottom w:val="single" w:sz="10" w:space="0" w:color="auto"/>
            </w:tcBorders>
            <w:vAlign w:val="center"/>
          </w:tcPr>
          <w:p w14:paraId="39BFE19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β (Coef.)</w:t>
            </w:r>
          </w:p>
        </w:tc>
        <w:tc>
          <w:tcPr>
            <w:tcW w:w="1711" w:type="dxa"/>
            <w:tcBorders>
              <w:bottom w:val="single" w:sz="10" w:space="0" w:color="auto"/>
            </w:tcBorders>
            <w:vAlign w:val="center"/>
          </w:tcPr>
          <w:p w14:paraId="113E06D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SE (</w:t>
            </w:r>
            <w:proofErr w:type="spellStart"/>
            <w:r>
              <w:rPr>
                <w:rFonts w:ascii="Times New Roman" w:eastAsia="SimSun" w:hAnsi="Times New Roman" w:cs="Times New Roman"/>
                <w:szCs w:val="21"/>
              </w:rPr>
              <w:t>Std.Err</w:t>
            </w:r>
            <w:proofErr w:type="spellEnd"/>
            <w:r>
              <w:rPr>
                <w:rFonts w:ascii="Times New Roman" w:eastAsia="SimSun" w:hAnsi="Times New Roman" w:cs="Times New Roman"/>
                <w:szCs w:val="21"/>
              </w:rPr>
              <w:t>.)</w:t>
            </w:r>
          </w:p>
        </w:tc>
        <w:tc>
          <w:tcPr>
            <w:tcW w:w="1071" w:type="dxa"/>
            <w:tcBorders>
              <w:bottom w:val="single" w:sz="10" w:space="0" w:color="auto"/>
            </w:tcBorders>
            <w:vAlign w:val="center"/>
          </w:tcPr>
          <w:p w14:paraId="13994DA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z</w:t>
            </w:r>
          </w:p>
        </w:tc>
        <w:tc>
          <w:tcPr>
            <w:tcW w:w="966" w:type="dxa"/>
            <w:tcBorders>
              <w:bottom w:val="single" w:sz="10" w:space="0" w:color="auto"/>
            </w:tcBorders>
            <w:vAlign w:val="center"/>
          </w:tcPr>
          <w:p w14:paraId="7B4500E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p</w:t>
            </w:r>
          </w:p>
        </w:tc>
        <w:tc>
          <w:tcPr>
            <w:tcW w:w="2436" w:type="dxa"/>
            <w:tcBorders>
              <w:bottom w:val="single" w:sz="10" w:space="0" w:color="auto"/>
            </w:tcBorders>
            <w:vAlign w:val="center"/>
          </w:tcPr>
          <w:p w14:paraId="21411DE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95%CI</w:t>
            </w:r>
          </w:p>
        </w:tc>
      </w:tr>
      <w:tr w:rsidR="00FF356B" w14:paraId="5995DB38" w14:textId="77777777">
        <w:trPr>
          <w:jc w:val="center"/>
        </w:trPr>
        <w:tc>
          <w:tcPr>
            <w:tcW w:w="2219" w:type="dxa"/>
            <w:vAlign w:val="center"/>
          </w:tcPr>
          <w:p w14:paraId="2D65D5C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Grade (centered)</w:t>
            </w:r>
          </w:p>
        </w:tc>
        <w:tc>
          <w:tcPr>
            <w:tcW w:w="1392" w:type="dxa"/>
            <w:vAlign w:val="center"/>
          </w:tcPr>
          <w:p w14:paraId="36C7B3E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-592.490</w:t>
            </w:r>
          </w:p>
        </w:tc>
        <w:tc>
          <w:tcPr>
            <w:tcW w:w="1711" w:type="dxa"/>
            <w:vAlign w:val="center"/>
          </w:tcPr>
          <w:p w14:paraId="264E4325"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20.893</w:t>
            </w:r>
          </w:p>
        </w:tc>
        <w:tc>
          <w:tcPr>
            <w:tcW w:w="1071" w:type="dxa"/>
            <w:vAlign w:val="center"/>
          </w:tcPr>
          <w:p w14:paraId="2372B73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-28.358</w:t>
            </w:r>
          </w:p>
        </w:tc>
        <w:tc>
          <w:tcPr>
            <w:tcW w:w="966" w:type="dxa"/>
            <w:vAlign w:val="center"/>
          </w:tcPr>
          <w:p w14:paraId="02EA70A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436" w:type="dxa"/>
            <w:vAlign w:val="center"/>
          </w:tcPr>
          <w:p w14:paraId="76EF68D6"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[-633.440, -551.540]</w:t>
            </w:r>
          </w:p>
        </w:tc>
      </w:tr>
      <w:tr w:rsidR="00FF356B" w14:paraId="40CAB7BA" w14:textId="77777777">
        <w:trPr>
          <w:jc w:val="center"/>
        </w:trPr>
        <w:tc>
          <w:tcPr>
            <w:tcW w:w="2219" w:type="dxa"/>
            <w:vAlign w:val="center"/>
          </w:tcPr>
          <w:p w14:paraId="6507DF7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Sex (Female=1)</w:t>
            </w:r>
          </w:p>
        </w:tc>
        <w:tc>
          <w:tcPr>
            <w:tcW w:w="1392" w:type="dxa"/>
            <w:vAlign w:val="center"/>
          </w:tcPr>
          <w:p w14:paraId="7A14B63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1.304</w:t>
            </w:r>
          </w:p>
        </w:tc>
        <w:tc>
          <w:tcPr>
            <w:tcW w:w="1711" w:type="dxa"/>
            <w:vAlign w:val="center"/>
          </w:tcPr>
          <w:p w14:paraId="079E471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0.019</w:t>
            </w:r>
          </w:p>
        </w:tc>
        <w:tc>
          <w:tcPr>
            <w:tcW w:w="1071" w:type="dxa"/>
            <w:vAlign w:val="center"/>
          </w:tcPr>
          <w:p w14:paraId="5E1A671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69.599</w:t>
            </w:r>
          </w:p>
        </w:tc>
        <w:tc>
          <w:tcPr>
            <w:tcW w:w="966" w:type="dxa"/>
            <w:vAlign w:val="center"/>
          </w:tcPr>
          <w:p w14:paraId="35F0E0FA"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436" w:type="dxa"/>
            <w:vAlign w:val="center"/>
          </w:tcPr>
          <w:p w14:paraId="74F39C93"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[1.268, 1.341]</w:t>
            </w:r>
          </w:p>
        </w:tc>
      </w:tr>
      <w:tr w:rsidR="00FF356B" w14:paraId="6F056533" w14:textId="77777777">
        <w:trPr>
          <w:jc w:val="center"/>
        </w:trPr>
        <w:tc>
          <w:tcPr>
            <w:tcW w:w="2219" w:type="dxa"/>
            <w:vAlign w:val="center"/>
          </w:tcPr>
          <w:p w14:paraId="3BF72C05"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lastRenderedPageBreak/>
              <w:t>Grade × Sex</w:t>
            </w:r>
          </w:p>
        </w:tc>
        <w:tc>
          <w:tcPr>
            <w:tcW w:w="1392" w:type="dxa"/>
            <w:vAlign w:val="center"/>
          </w:tcPr>
          <w:p w14:paraId="1460804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3.415</w:t>
            </w:r>
          </w:p>
        </w:tc>
        <w:tc>
          <w:tcPr>
            <w:tcW w:w="1711" w:type="dxa"/>
            <w:vAlign w:val="center"/>
          </w:tcPr>
          <w:p w14:paraId="5526E48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0.120</w:t>
            </w:r>
          </w:p>
        </w:tc>
        <w:tc>
          <w:tcPr>
            <w:tcW w:w="1071" w:type="dxa"/>
            <w:vAlign w:val="center"/>
          </w:tcPr>
          <w:p w14:paraId="501B32F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28.437</w:t>
            </w:r>
          </w:p>
        </w:tc>
        <w:tc>
          <w:tcPr>
            <w:tcW w:w="966" w:type="dxa"/>
            <w:vAlign w:val="center"/>
          </w:tcPr>
          <w:p w14:paraId="3E7E1E1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436" w:type="dxa"/>
            <w:vAlign w:val="center"/>
          </w:tcPr>
          <w:p w14:paraId="075550B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[3.180, 3.651]</w:t>
            </w:r>
          </w:p>
        </w:tc>
      </w:tr>
      <w:tr w:rsidR="00FF356B" w14:paraId="1EEBE7E2" w14:textId="77777777">
        <w:trPr>
          <w:jc w:val="center"/>
        </w:trPr>
        <w:tc>
          <w:tcPr>
            <w:tcW w:w="2219" w:type="dxa"/>
            <w:vAlign w:val="center"/>
          </w:tcPr>
          <w:p w14:paraId="3D0839A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Enrollment Year</w:t>
            </w:r>
          </w:p>
        </w:tc>
        <w:tc>
          <w:tcPr>
            <w:tcW w:w="1392" w:type="dxa"/>
            <w:vAlign w:val="center"/>
          </w:tcPr>
          <w:p w14:paraId="7F97C919"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0.165</w:t>
            </w:r>
          </w:p>
        </w:tc>
        <w:tc>
          <w:tcPr>
            <w:tcW w:w="1711" w:type="dxa"/>
            <w:vAlign w:val="center"/>
          </w:tcPr>
          <w:p w14:paraId="7D0ACEB2"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0.046</w:t>
            </w:r>
          </w:p>
        </w:tc>
        <w:tc>
          <w:tcPr>
            <w:tcW w:w="1071" w:type="dxa"/>
            <w:vAlign w:val="center"/>
          </w:tcPr>
          <w:p w14:paraId="22A8845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3.587</w:t>
            </w:r>
          </w:p>
        </w:tc>
        <w:tc>
          <w:tcPr>
            <w:tcW w:w="966" w:type="dxa"/>
            <w:vAlign w:val="center"/>
          </w:tcPr>
          <w:p w14:paraId="35EACDCF"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436" w:type="dxa"/>
            <w:vAlign w:val="center"/>
          </w:tcPr>
          <w:p w14:paraId="0BE658D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[0.075, 0.256]</w:t>
            </w:r>
          </w:p>
        </w:tc>
      </w:tr>
      <w:tr w:rsidR="00FF356B" w14:paraId="21A87291" w14:textId="77777777">
        <w:trPr>
          <w:jc w:val="center"/>
        </w:trPr>
        <w:tc>
          <w:tcPr>
            <w:tcW w:w="2219" w:type="dxa"/>
            <w:vAlign w:val="center"/>
          </w:tcPr>
          <w:p w14:paraId="5B2B9B85"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Years of Suspension</w:t>
            </w:r>
          </w:p>
        </w:tc>
        <w:tc>
          <w:tcPr>
            <w:tcW w:w="1392" w:type="dxa"/>
            <w:vAlign w:val="center"/>
          </w:tcPr>
          <w:p w14:paraId="32FA3607"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0.302</w:t>
            </w:r>
          </w:p>
        </w:tc>
        <w:tc>
          <w:tcPr>
            <w:tcW w:w="1711" w:type="dxa"/>
            <w:vAlign w:val="center"/>
          </w:tcPr>
          <w:p w14:paraId="43F775EC"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0.010</w:t>
            </w:r>
          </w:p>
        </w:tc>
        <w:tc>
          <w:tcPr>
            <w:tcW w:w="1071" w:type="dxa"/>
            <w:vAlign w:val="center"/>
          </w:tcPr>
          <w:p w14:paraId="0773AE3D"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29.161</w:t>
            </w:r>
          </w:p>
        </w:tc>
        <w:tc>
          <w:tcPr>
            <w:tcW w:w="966" w:type="dxa"/>
            <w:vAlign w:val="center"/>
          </w:tcPr>
          <w:p w14:paraId="7BF002EB"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&lt;0.001</w:t>
            </w:r>
          </w:p>
        </w:tc>
        <w:tc>
          <w:tcPr>
            <w:tcW w:w="2436" w:type="dxa"/>
            <w:vAlign w:val="center"/>
          </w:tcPr>
          <w:p w14:paraId="41ACEA61"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[0.282, 0.322]</w:t>
            </w:r>
          </w:p>
        </w:tc>
      </w:tr>
      <w:tr w:rsidR="00FF356B" w14:paraId="18F73A35" w14:textId="77777777">
        <w:trPr>
          <w:jc w:val="center"/>
        </w:trPr>
        <w:tc>
          <w:tcPr>
            <w:tcW w:w="2219" w:type="dxa"/>
            <w:vAlign w:val="center"/>
          </w:tcPr>
          <w:p w14:paraId="563FEAA8"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Grade (centered)</w:t>
            </w:r>
          </w:p>
        </w:tc>
        <w:tc>
          <w:tcPr>
            <w:tcW w:w="1392" w:type="dxa"/>
            <w:vAlign w:val="center"/>
          </w:tcPr>
          <w:p w14:paraId="6D1A21E5"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-0.555</w:t>
            </w:r>
          </w:p>
        </w:tc>
        <w:tc>
          <w:tcPr>
            <w:tcW w:w="1711" w:type="dxa"/>
            <w:vAlign w:val="center"/>
          </w:tcPr>
          <w:p w14:paraId="1E93397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0.393</w:t>
            </w:r>
          </w:p>
        </w:tc>
        <w:tc>
          <w:tcPr>
            <w:tcW w:w="1071" w:type="dxa"/>
            <w:vAlign w:val="center"/>
          </w:tcPr>
          <w:p w14:paraId="11114E73"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-1.412</w:t>
            </w:r>
          </w:p>
        </w:tc>
        <w:tc>
          <w:tcPr>
            <w:tcW w:w="966" w:type="dxa"/>
            <w:vAlign w:val="center"/>
          </w:tcPr>
          <w:p w14:paraId="5FFB43AE"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0.158</w:t>
            </w:r>
          </w:p>
        </w:tc>
        <w:tc>
          <w:tcPr>
            <w:tcW w:w="2436" w:type="dxa"/>
            <w:vAlign w:val="center"/>
          </w:tcPr>
          <w:p w14:paraId="45604300" w14:textId="77777777" w:rsidR="00FF356B" w:rsidRDefault="00093ABF">
            <w:pPr>
              <w:snapToGrid w:val="0"/>
              <w:spacing w:line="360" w:lineRule="auto"/>
              <w:rPr>
                <w:rFonts w:ascii="Times New Roman" w:eastAsia="SimSun" w:hAnsi="Times New Roman" w:cs="Times New Roman"/>
                <w:szCs w:val="21"/>
              </w:rPr>
            </w:pPr>
            <w:r>
              <w:rPr>
                <w:rFonts w:ascii="Times New Roman" w:eastAsia="SimSun" w:hAnsi="Times New Roman" w:cs="Times New Roman"/>
                <w:szCs w:val="21"/>
              </w:rPr>
              <w:t>[-1.325, 0.215]</w:t>
            </w:r>
          </w:p>
        </w:tc>
      </w:tr>
    </w:tbl>
    <w:p w14:paraId="5F80C99C" w14:textId="77777777" w:rsidR="00FF356B" w:rsidRDefault="00093ABF">
      <w:pPr>
        <w:pStyle w:val="NormalWeb"/>
        <w:widowControl/>
        <w:spacing w:line="360" w:lineRule="auto"/>
        <w:jc w:val="both"/>
        <w:rPr>
          <w:rFonts w:ascii="Times New Roman" w:hAnsi="Times New Roman"/>
          <w:sz w:val="18"/>
          <w:szCs w:val="18"/>
        </w:rPr>
      </w:pPr>
      <w:r>
        <w:rPr>
          <w:rStyle w:val="Strong"/>
          <w:rFonts w:ascii="Times New Roman" w:hAnsi="Times New Roman"/>
          <w:b w:val="0"/>
          <w:bCs w:val="0"/>
          <w:sz w:val="18"/>
          <w:szCs w:val="18"/>
        </w:rPr>
        <w:t>Note:</w:t>
      </w:r>
      <w:r>
        <w:rPr>
          <w:rFonts w:ascii="Times New Roman" w:hAnsi="Times New Roman"/>
          <w:sz w:val="18"/>
          <w:szCs w:val="18"/>
        </w:rPr>
        <w:t xml:space="preserve"> The dependent variable was </w:t>
      </w:r>
      <w:r>
        <w:rPr>
          <w:rStyle w:val="Strong"/>
          <w:rFonts w:ascii="Times New Roman" w:hAnsi="Times New Roman"/>
          <w:b w:val="0"/>
          <w:bCs w:val="0"/>
          <w:sz w:val="18"/>
          <w:szCs w:val="18"/>
        </w:rPr>
        <w:t>sit-and-reach (flex)</w:t>
      </w:r>
      <w:r>
        <w:rPr>
          <w:rFonts w:ascii="Times New Roman" w:hAnsi="Times New Roman"/>
          <w:sz w:val="18"/>
          <w:szCs w:val="18"/>
        </w:rPr>
        <w:t xml:space="preserve">. Academic year was coded as </w:t>
      </w:r>
      <w:r>
        <w:rPr>
          <w:rStyle w:val="Strong"/>
          <w:rFonts w:ascii="Times New Roman" w:hAnsi="Times New Roman"/>
          <w:b w:val="0"/>
          <w:bCs w:val="0"/>
          <w:sz w:val="18"/>
          <w:szCs w:val="18"/>
        </w:rPr>
        <w:t>freshman = 1, sophomore = 2, junior = 3, and senior = 4</w:t>
      </w:r>
      <w:r>
        <w:rPr>
          <w:rFonts w:ascii="Times New Roman" w:hAnsi="Times New Roman"/>
          <w:sz w:val="18"/>
          <w:szCs w:val="18"/>
        </w:rPr>
        <w:t>, and was centered at the sample mean (</w:t>
      </w:r>
      <w:r>
        <w:rPr>
          <w:rStyle w:val="Strong"/>
          <w:rFonts w:ascii="Times New Roman" w:hAnsi="Times New Roman"/>
          <w:b w:val="0"/>
          <w:bCs w:val="0"/>
          <w:sz w:val="18"/>
          <w:szCs w:val="18"/>
        </w:rPr>
        <w:t>mean = 2.448</w:t>
      </w:r>
      <w:r>
        <w:rPr>
          <w:rFonts w:ascii="Times New Roman" w:hAnsi="Times New Roman"/>
          <w:sz w:val="18"/>
          <w:szCs w:val="18"/>
        </w:rPr>
        <w:t xml:space="preserve">). Gender was coded as </w:t>
      </w:r>
      <w:r>
        <w:rPr>
          <w:rStyle w:val="Strong"/>
          <w:rFonts w:ascii="Times New Roman" w:hAnsi="Times New Roman"/>
          <w:b w:val="0"/>
          <w:bCs w:val="0"/>
          <w:sz w:val="18"/>
          <w:szCs w:val="18"/>
        </w:rPr>
        <w:t>male = 0</w:t>
      </w:r>
      <w:r>
        <w:rPr>
          <w:rFonts w:ascii="Times New Roman" w:hAnsi="Times New Roman"/>
          <w:sz w:val="18"/>
          <w:szCs w:val="18"/>
        </w:rPr>
        <w:t xml:space="preserve"> and </w:t>
      </w:r>
      <w:r>
        <w:rPr>
          <w:rStyle w:val="Strong"/>
          <w:rFonts w:ascii="Times New Roman" w:hAnsi="Times New Roman"/>
          <w:b w:val="0"/>
          <w:bCs w:val="0"/>
          <w:sz w:val="18"/>
          <w:szCs w:val="18"/>
        </w:rPr>
        <w:t>female = 1</w:t>
      </w:r>
      <w:r>
        <w:rPr>
          <w:rFonts w:ascii="Times New Roman" w:hAnsi="Times New Roman"/>
          <w:sz w:val="18"/>
          <w:szCs w:val="18"/>
        </w:rPr>
        <w:t xml:space="preserve">. The model was a </w:t>
      </w:r>
      <w:r>
        <w:rPr>
          <w:rStyle w:val="Strong"/>
          <w:rFonts w:ascii="Times New Roman" w:hAnsi="Times New Roman"/>
          <w:b w:val="0"/>
          <w:bCs w:val="0"/>
          <w:sz w:val="18"/>
          <w:szCs w:val="18"/>
        </w:rPr>
        <w:t>linear mi</w:t>
      </w:r>
      <w:r>
        <w:rPr>
          <w:rStyle w:val="Strong"/>
          <w:rFonts w:ascii="Times New Roman" w:hAnsi="Times New Roman"/>
          <w:b w:val="0"/>
          <w:bCs w:val="0"/>
          <w:sz w:val="18"/>
          <w:szCs w:val="18"/>
        </w:rPr>
        <w:t>xed-effects model (REML)</w:t>
      </w:r>
      <w:r>
        <w:rPr>
          <w:rFonts w:ascii="Times New Roman" w:hAnsi="Times New Roman"/>
          <w:sz w:val="18"/>
          <w:szCs w:val="18"/>
        </w:rPr>
        <w:t xml:space="preserve"> with </w:t>
      </w:r>
      <w:r>
        <w:rPr>
          <w:rStyle w:val="Strong"/>
          <w:rFonts w:ascii="Times New Roman" w:hAnsi="Times New Roman"/>
          <w:b w:val="0"/>
          <w:bCs w:val="0"/>
          <w:sz w:val="18"/>
          <w:szCs w:val="18"/>
        </w:rPr>
        <w:t>student-specific random intercepts</w:t>
      </w:r>
      <w:r>
        <w:rPr>
          <w:rFonts w:ascii="Times New Roman" w:hAnsi="Times New Roman"/>
          <w:sz w:val="18"/>
          <w:szCs w:val="18"/>
        </w:rPr>
        <w:t xml:space="preserve">; </w:t>
      </w:r>
      <w:r>
        <w:rPr>
          <w:rStyle w:val="Strong"/>
          <w:rFonts w:ascii="Times New Roman" w:hAnsi="Times New Roman"/>
          <w:b w:val="0"/>
          <w:bCs w:val="0"/>
          <w:sz w:val="18"/>
          <w:szCs w:val="18"/>
        </w:rPr>
        <w:t>number of observations = 49,156</w:t>
      </w:r>
      <w:r>
        <w:rPr>
          <w:rFonts w:ascii="Times New Roman" w:hAnsi="Times New Roman"/>
          <w:sz w:val="18"/>
          <w:szCs w:val="18"/>
        </w:rPr>
        <w:t xml:space="preserve"> and </w:t>
      </w:r>
      <w:r>
        <w:rPr>
          <w:rStyle w:val="Strong"/>
          <w:rFonts w:ascii="Times New Roman" w:hAnsi="Times New Roman"/>
          <w:b w:val="0"/>
          <w:bCs w:val="0"/>
          <w:sz w:val="18"/>
          <w:szCs w:val="18"/>
        </w:rPr>
        <w:t>number of students = 14,920</w:t>
      </w:r>
      <w:r>
        <w:rPr>
          <w:rFonts w:ascii="Times New Roman" w:hAnsi="Times New Roman"/>
          <w:sz w:val="18"/>
          <w:szCs w:val="18"/>
        </w:rPr>
        <w:t>.</w:t>
      </w:r>
    </w:p>
    <w:p w14:paraId="6AC35503" w14:textId="77777777" w:rsidR="00FF356B" w:rsidRDefault="00093ABF">
      <w:pPr>
        <w:pStyle w:val="NormalWeb"/>
        <w:widowControl/>
        <w:spacing w:line="360" w:lineRule="auto"/>
        <w:jc w:val="center"/>
        <w:rPr>
          <w:rFonts w:ascii="Times New Roman" w:hAnsi="Times New Roman"/>
          <w:i/>
          <w:iCs/>
          <w:sz w:val="21"/>
          <w:szCs w:val="21"/>
        </w:rPr>
      </w:pPr>
      <w:r>
        <w:rPr>
          <w:rStyle w:val="Strong"/>
          <w:rFonts w:ascii="Times New Roman" w:hAnsi="Times New Roman"/>
          <w:b w:val="0"/>
          <w:bCs w:val="0"/>
          <w:i/>
          <w:iCs/>
          <w:sz w:val="21"/>
          <w:szCs w:val="21"/>
        </w:rPr>
        <w:t>Supplementary Table S2. Results of the Generalized Estimating Equation (GEE) Analysis for 50 m Sprint Speed (m/s)</w:t>
      </w:r>
    </w:p>
    <w:tbl>
      <w:tblPr>
        <w:tblW w:w="9570" w:type="dxa"/>
        <w:jc w:val="center"/>
        <w:tblLook w:val="04A0" w:firstRow="1" w:lastRow="0" w:firstColumn="1" w:lastColumn="0" w:noHBand="0" w:noVBand="1"/>
      </w:tblPr>
      <w:tblGrid>
        <w:gridCol w:w="2202"/>
        <w:gridCol w:w="945"/>
        <w:gridCol w:w="872"/>
        <w:gridCol w:w="994"/>
        <w:gridCol w:w="872"/>
        <w:gridCol w:w="945"/>
        <w:gridCol w:w="872"/>
        <w:gridCol w:w="996"/>
        <w:gridCol w:w="872"/>
      </w:tblGrid>
      <w:tr w:rsidR="00FF356B" w14:paraId="495A7954" w14:textId="77777777">
        <w:trPr>
          <w:tblHeader/>
          <w:jc w:val="center"/>
        </w:trPr>
        <w:tc>
          <w:tcPr>
            <w:tcW w:w="2202" w:type="dxa"/>
            <w:tcBorders>
              <w:top w:val="single" w:sz="12" w:space="0" w:color="auto"/>
              <w:left w:val="nil"/>
              <w:bottom w:val="nil"/>
              <w:right w:val="nil"/>
            </w:tcBorders>
            <w:vAlign w:val="center"/>
          </w:tcPr>
          <w:p w14:paraId="62A15125"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Variables</w:t>
            </w:r>
          </w:p>
        </w:tc>
        <w:tc>
          <w:tcPr>
            <w:tcW w:w="945" w:type="dxa"/>
            <w:tcBorders>
              <w:top w:val="single" w:sz="12" w:space="0" w:color="auto"/>
              <w:left w:val="nil"/>
              <w:bottom w:val="nil"/>
              <w:right w:val="nil"/>
            </w:tcBorders>
          </w:tcPr>
          <w:p w14:paraId="61B2D859"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β</w:t>
            </w:r>
            <w:r>
              <w:rPr>
                <w:rFonts w:ascii="Times New Roman" w:hAnsi="Times New Roman" w:cs="Times New Roman"/>
                <w:szCs w:val="21"/>
              </w:rPr>
              <w:t>(A)</w:t>
            </w:r>
          </w:p>
        </w:tc>
        <w:tc>
          <w:tcPr>
            <w:tcW w:w="872" w:type="dxa"/>
            <w:tcBorders>
              <w:top w:val="single" w:sz="12" w:space="0" w:color="auto"/>
              <w:left w:val="nil"/>
              <w:bottom w:val="nil"/>
              <w:right w:val="nil"/>
            </w:tcBorders>
          </w:tcPr>
          <w:p w14:paraId="2522BB5B"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SE(A)</w:t>
            </w:r>
          </w:p>
        </w:tc>
        <w:tc>
          <w:tcPr>
            <w:tcW w:w="994" w:type="dxa"/>
            <w:tcBorders>
              <w:top w:val="single" w:sz="12" w:space="0" w:color="auto"/>
              <w:left w:val="nil"/>
              <w:bottom w:val="nil"/>
              <w:right w:val="nil"/>
            </w:tcBorders>
          </w:tcPr>
          <w:p w14:paraId="407A508D"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z(A)</w:t>
            </w:r>
          </w:p>
        </w:tc>
        <w:tc>
          <w:tcPr>
            <w:tcW w:w="872" w:type="dxa"/>
            <w:tcBorders>
              <w:top w:val="single" w:sz="12" w:space="0" w:color="auto"/>
              <w:left w:val="nil"/>
              <w:bottom w:val="nil"/>
              <w:right w:val="nil"/>
            </w:tcBorders>
          </w:tcPr>
          <w:p w14:paraId="2F70F76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P(A)</w:t>
            </w:r>
          </w:p>
        </w:tc>
        <w:tc>
          <w:tcPr>
            <w:tcW w:w="945" w:type="dxa"/>
            <w:tcBorders>
              <w:top w:val="single" w:sz="12" w:space="0" w:color="auto"/>
              <w:left w:val="nil"/>
              <w:bottom w:val="nil"/>
              <w:right w:val="nil"/>
            </w:tcBorders>
          </w:tcPr>
          <w:p w14:paraId="1BD1185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β(B)</w:t>
            </w:r>
          </w:p>
        </w:tc>
        <w:tc>
          <w:tcPr>
            <w:tcW w:w="872" w:type="dxa"/>
            <w:tcBorders>
              <w:top w:val="single" w:sz="12" w:space="0" w:color="auto"/>
              <w:left w:val="nil"/>
              <w:bottom w:val="nil"/>
              <w:right w:val="nil"/>
            </w:tcBorders>
          </w:tcPr>
          <w:p w14:paraId="3FA0AD1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SE(B)</w:t>
            </w:r>
          </w:p>
        </w:tc>
        <w:tc>
          <w:tcPr>
            <w:tcW w:w="996" w:type="dxa"/>
            <w:tcBorders>
              <w:top w:val="single" w:sz="12" w:space="0" w:color="auto"/>
              <w:left w:val="nil"/>
              <w:bottom w:val="nil"/>
              <w:right w:val="nil"/>
            </w:tcBorders>
          </w:tcPr>
          <w:p w14:paraId="121CDDCA"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z(B)</w:t>
            </w:r>
          </w:p>
        </w:tc>
        <w:tc>
          <w:tcPr>
            <w:tcW w:w="872" w:type="dxa"/>
            <w:tcBorders>
              <w:top w:val="single" w:sz="12" w:space="0" w:color="auto"/>
              <w:left w:val="nil"/>
              <w:bottom w:val="nil"/>
              <w:right w:val="nil"/>
            </w:tcBorders>
          </w:tcPr>
          <w:p w14:paraId="78755C1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P(B)</w:t>
            </w:r>
          </w:p>
        </w:tc>
      </w:tr>
      <w:tr w:rsidR="00FF356B" w14:paraId="708B757E" w14:textId="77777777">
        <w:trPr>
          <w:tblHeader/>
          <w:jc w:val="center"/>
        </w:trPr>
        <w:tc>
          <w:tcPr>
            <w:tcW w:w="2202" w:type="dxa"/>
            <w:tcBorders>
              <w:top w:val="nil"/>
              <w:left w:val="nil"/>
              <w:bottom w:val="nil"/>
              <w:right w:val="nil"/>
            </w:tcBorders>
            <w:vAlign w:val="center"/>
          </w:tcPr>
          <w:p w14:paraId="2EED7457"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Grade (centered)</w:t>
            </w:r>
          </w:p>
        </w:tc>
        <w:tc>
          <w:tcPr>
            <w:tcW w:w="945" w:type="dxa"/>
            <w:tcBorders>
              <w:top w:val="nil"/>
              <w:left w:val="nil"/>
              <w:bottom w:val="nil"/>
              <w:right w:val="nil"/>
            </w:tcBorders>
            <w:vAlign w:val="center"/>
          </w:tcPr>
          <w:p w14:paraId="66950BDD"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6.9097</w:t>
            </w:r>
          </w:p>
        </w:tc>
        <w:tc>
          <w:tcPr>
            <w:tcW w:w="872" w:type="dxa"/>
            <w:tcBorders>
              <w:top w:val="nil"/>
              <w:left w:val="nil"/>
              <w:bottom w:val="nil"/>
              <w:right w:val="nil"/>
            </w:tcBorders>
            <w:vAlign w:val="center"/>
          </w:tcPr>
          <w:p w14:paraId="7EF50A74"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0.0031</w:t>
            </w:r>
          </w:p>
        </w:tc>
        <w:tc>
          <w:tcPr>
            <w:tcW w:w="994" w:type="dxa"/>
            <w:tcBorders>
              <w:top w:val="nil"/>
              <w:left w:val="nil"/>
              <w:bottom w:val="nil"/>
              <w:right w:val="nil"/>
            </w:tcBorders>
            <w:vAlign w:val="center"/>
          </w:tcPr>
          <w:p w14:paraId="199EF6E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2249.68</w:t>
            </w:r>
          </w:p>
        </w:tc>
        <w:tc>
          <w:tcPr>
            <w:tcW w:w="872" w:type="dxa"/>
            <w:tcBorders>
              <w:top w:val="nil"/>
              <w:left w:val="nil"/>
              <w:bottom w:val="nil"/>
              <w:right w:val="nil"/>
            </w:tcBorders>
            <w:vAlign w:val="center"/>
          </w:tcPr>
          <w:p w14:paraId="0273ECCB"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c>
          <w:tcPr>
            <w:tcW w:w="945" w:type="dxa"/>
            <w:tcBorders>
              <w:top w:val="nil"/>
              <w:left w:val="nil"/>
              <w:bottom w:val="nil"/>
              <w:right w:val="nil"/>
            </w:tcBorders>
            <w:vAlign w:val="center"/>
          </w:tcPr>
          <w:p w14:paraId="344FE38A"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6.8999</w:t>
            </w:r>
          </w:p>
        </w:tc>
        <w:tc>
          <w:tcPr>
            <w:tcW w:w="872" w:type="dxa"/>
            <w:tcBorders>
              <w:top w:val="nil"/>
              <w:left w:val="nil"/>
              <w:bottom w:val="nil"/>
              <w:right w:val="nil"/>
            </w:tcBorders>
            <w:vAlign w:val="center"/>
          </w:tcPr>
          <w:p w14:paraId="77D8FD0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0.0029</w:t>
            </w:r>
          </w:p>
        </w:tc>
        <w:tc>
          <w:tcPr>
            <w:tcW w:w="996" w:type="dxa"/>
            <w:tcBorders>
              <w:top w:val="nil"/>
              <w:left w:val="nil"/>
              <w:bottom w:val="nil"/>
              <w:right w:val="nil"/>
            </w:tcBorders>
            <w:vAlign w:val="center"/>
          </w:tcPr>
          <w:p w14:paraId="5A6FC27E"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2339.13</w:t>
            </w:r>
          </w:p>
        </w:tc>
        <w:tc>
          <w:tcPr>
            <w:tcW w:w="872" w:type="dxa"/>
            <w:tcBorders>
              <w:top w:val="nil"/>
              <w:left w:val="nil"/>
              <w:bottom w:val="nil"/>
              <w:right w:val="nil"/>
            </w:tcBorders>
            <w:vAlign w:val="center"/>
          </w:tcPr>
          <w:p w14:paraId="0C854A99"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r>
      <w:tr w:rsidR="00FF356B" w14:paraId="26A08395" w14:textId="77777777">
        <w:trPr>
          <w:tblHeader/>
          <w:jc w:val="center"/>
        </w:trPr>
        <w:tc>
          <w:tcPr>
            <w:tcW w:w="2202" w:type="dxa"/>
            <w:tcBorders>
              <w:top w:val="nil"/>
              <w:left w:val="nil"/>
              <w:bottom w:val="nil"/>
              <w:right w:val="nil"/>
            </w:tcBorders>
            <w:vAlign w:val="center"/>
          </w:tcPr>
          <w:p w14:paraId="31275F88"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Sex (Female=1)</w:t>
            </w:r>
          </w:p>
        </w:tc>
        <w:tc>
          <w:tcPr>
            <w:tcW w:w="945" w:type="dxa"/>
            <w:tcBorders>
              <w:top w:val="nil"/>
              <w:left w:val="nil"/>
              <w:bottom w:val="nil"/>
              <w:right w:val="nil"/>
            </w:tcBorders>
            <w:vAlign w:val="center"/>
          </w:tcPr>
          <w:p w14:paraId="4E88A884"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0.0484</w:t>
            </w:r>
          </w:p>
        </w:tc>
        <w:tc>
          <w:tcPr>
            <w:tcW w:w="872" w:type="dxa"/>
            <w:tcBorders>
              <w:top w:val="nil"/>
              <w:left w:val="nil"/>
              <w:bottom w:val="nil"/>
              <w:right w:val="nil"/>
            </w:tcBorders>
            <w:vAlign w:val="center"/>
          </w:tcPr>
          <w:p w14:paraId="6BB5AE10"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0.0017</w:t>
            </w:r>
          </w:p>
        </w:tc>
        <w:tc>
          <w:tcPr>
            <w:tcW w:w="994" w:type="dxa"/>
            <w:tcBorders>
              <w:top w:val="nil"/>
              <w:left w:val="nil"/>
              <w:bottom w:val="nil"/>
              <w:right w:val="nil"/>
            </w:tcBorders>
            <w:vAlign w:val="center"/>
          </w:tcPr>
          <w:p w14:paraId="33E37B0C"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28.30</w:t>
            </w:r>
          </w:p>
        </w:tc>
        <w:tc>
          <w:tcPr>
            <w:tcW w:w="872" w:type="dxa"/>
            <w:tcBorders>
              <w:top w:val="nil"/>
              <w:left w:val="nil"/>
              <w:bottom w:val="nil"/>
              <w:right w:val="nil"/>
            </w:tcBorders>
            <w:vAlign w:val="center"/>
          </w:tcPr>
          <w:p w14:paraId="38F4501B"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c>
          <w:tcPr>
            <w:tcW w:w="945" w:type="dxa"/>
            <w:tcBorders>
              <w:top w:val="nil"/>
              <w:left w:val="nil"/>
              <w:bottom w:val="nil"/>
              <w:right w:val="nil"/>
            </w:tcBorders>
            <w:vAlign w:val="center"/>
          </w:tcPr>
          <w:p w14:paraId="0FB1DFF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0.0458</w:t>
            </w:r>
          </w:p>
        </w:tc>
        <w:tc>
          <w:tcPr>
            <w:tcW w:w="872" w:type="dxa"/>
            <w:tcBorders>
              <w:top w:val="nil"/>
              <w:left w:val="nil"/>
              <w:bottom w:val="nil"/>
              <w:right w:val="nil"/>
            </w:tcBorders>
            <w:vAlign w:val="center"/>
          </w:tcPr>
          <w:p w14:paraId="35EAF85A"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0.0016</w:t>
            </w:r>
          </w:p>
        </w:tc>
        <w:tc>
          <w:tcPr>
            <w:tcW w:w="996" w:type="dxa"/>
            <w:tcBorders>
              <w:top w:val="nil"/>
              <w:left w:val="nil"/>
              <w:bottom w:val="nil"/>
              <w:right w:val="nil"/>
            </w:tcBorders>
            <w:vAlign w:val="center"/>
          </w:tcPr>
          <w:p w14:paraId="12466FD0"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27.79</w:t>
            </w:r>
          </w:p>
        </w:tc>
        <w:tc>
          <w:tcPr>
            <w:tcW w:w="872" w:type="dxa"/>
            <w:tcBorders>
              <w:top w:val="nil"/>
              <w:left w:val="nil"/>
              <w:bottom w:val="nil"/>
              <w:right w:val="nil"/>
            </w:tcBorders>
            <w:vAlign w:val="center"/>
          </w:tcPr>
          <w:p w14:paraId="333C2D3E"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r>
      <w:tr w:rsidR="00FF356B" w14:paraId="31F78FBB" w14:textId="77777777">
        <w:trPr>
          <w:tblHeader/>
          <w:jc w:val="center"/>
        </w:trPr>
        <w:tc>
          <w:tcPr>
            <w:tcW w:w="2202" w:type="dxa"/>
            <w:tcBorders>
              <w:top w:val="nil"/>
              <w:left w:val="nil"/>
              <w:bottom w:val="nil"/>
              <w:right w:val="nil"/>
            </w:tcBorders>
            <w:vAlign w:val="center"/>
          </w:tcPr>
          <w:p w14:paraId="76E4BFB8"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Grade × Sex</w:t>
            </w:r>
          </w:p>
        </w:tc>
        <w:tc>
          <w:tcPr>
            <w:tcW w:w="945" w:type="dxa"/>
            <w:tcBorders>
              <w:top w:val="nil"/>
              <w:left w:val="nil"/>
              <w:bottom w:val="nil"/>
              <w:right w:val="nil"/>
            </w:tcBorders>
            <w:vAlign w:val="center"/>
          </w:tcPr>
          <w:p w14:paraId="409BF8D2"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-0.9981</w:t>
            </w:r>
          </w:p>
        </w:tc>
        <w:tc>
          <w:tcPr>
            <w:tcW w:w="872" w:type="dxa"/>
            <w:tcBorders>
              <w:top w:val="nil"/>
              <w:left w:val="nil"/>
              <w:bottom w:val="nil"/>
              <w:right w:val="nil"/>
            </w:tcBorders>
            <w:vAlign w:val="center"/>
          </w:tcPr>
          <w:p w14:paraId="3AA5573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0.0083</w:t>
            </w:r>
          </w:p>
        </w:tc>
        <w:tc>
          <w:tcPr>
            <w:tcW w:w="994" w:type="dxa"/>
            <w:tcBorders>
              <w:top w:val="nil"/>
              <w:left w:val="nil"/>
              <w:bottom w:val="nil"/>
              <w:right w:val="nil"/>
            </w:tcBorders>
            <w:vAlign w:val="center"/>
          </w:tcPr>
          <w:p w14:paraId="7410E63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-120.21</w:t>
            </w:r>
          </w:p>
        </w:tc>
        <w:tc>
          <w:tcPr>
            <w:tcW w:w="872" w:type="dxa"/>
            <w:tcBorders>
              <w:top w:val="nil"/>
              <w:left w:val="nil"/>
              <w:bottom w:val="nil"/>
              <w:right w:val="nil"/>
            </w:tcBorders>
            <w:vAlign w:val="center"/>
          </w:tcPr>
          <w:p w14:paraId="475E015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c>
          <w:tcPr>
            <w:tcW w:w="945" w:type="dxa"/>
            <w:tcBorders>
              <w:top w:val="nil"/>
              <w:left w:val="nil"/>
              <w:bottom w:val="nil"/>
              <w:right w:val="nil"/>
            </w:tcBorders>
            <w:vAlign w:val="center"/>
          </w:tcPr>
          <w:p w14:paraId="7C662338"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-0.9451</w:t>
            </w:r>
          </w:p>
        </w:tc>
        <w:tc>
          <w:tcPr>
            <w:tcW w:w="872" w:type="dxa"/>
            <w:tcBorders>
              <w:top w:val="nil"/>
              <w:left w:val="nil"/>
              <w:bottom w:val="nil"/>
              <w:right w:val="nil"/>
            </w:tcBorders>
            <w:vAlign w:val="center"/>
          </w:tcPr>
          <w:p w14:paraId="7562198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0.0076</w:t>
            </w:r>
          </w:p>
        </w:tc>
        <w:tc>
          <w:tcPr>
            <w:tcW w:w="996" w:type="dxa"/>
            <w:tcBorders>
              <w:top w:val="nil"/>
              <w:left w:val="nil"/>
              <w:bottom w:val="nil"/>
              <w:right w:val="nil"/>
            </w:tcBorders>
            <w:vAlign w:val="center"/>
          </w:tcPr>
          <w:p w14:paraId="4F79FF0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-123.62</w:t>
            </w:r>
          </w:p>
        </w:tc>
        <w:tc>
          <w:tcPr>
            <w:tcW w:w="872" w:type="dxa"/>
            <w:tcBorders>
              <w:top w:val="nil"/>
              <w:left w:val="nil"/>
              <w:bottom w:val="nil"/>
              <w:right w:val="nil"/>
            </w:tcBorders>
            <w:vAlign w:val="center"/>
          </w:tcPr>
          <w:p w14:paraId="16395ED3"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r>
      <w:tr w:rsidR="00FF356B" w14:paraId="7BA49023" w14:textId="77777777">
        <w:trPr>
          <w:tblHeader/>
          <w:jc w:val="center"/>
        </w:trPr>
        <w:tc>
          <w:tcPr>
            <w:tcW w:w="2202" w:type="dxa"/>
            <w:tcBorders>
              <w:top w:val="nil"/>
              <w:left w:val="nil"/>
              <w:bottom w:val="nil"/>
              <w:right w:val="nil"/>
            </w:tcBorders>
            <w:vAlign w:val="center"/>
          </w:tcPr>
          <w:p w14:paraId="0151D2ED"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Enrollment Year</w:t>
            </w:r>
          </w:p>
        </w:tc>
        <w:tc>
          <w:tcPr>
            <w:tcW w:w="945" w:type="dxa"/>
            <w:tcBorders>
              <w:top w:val="nil"/>
              <w:left w:val="nil"/>
              <w:bottom w:val="nil"/>
              <w:right w:val="nil"/>
            </w:tcBorders>
            <w:vAlign w:val="center"/>
          </w:tcPr>
          <w:p w14:paraId="3B158758"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-0.0139</w:t>
            </w:r>
          </w:p>
        </w:tc>
        <w:tc>
          <w:tcPr>
            <w:tcW w:w="872" w:type="dxa"/>
            <w:tcBorders>
              <w:top w:val="nil"/>
              <w:left w:val="nil"/>
              <w:bottom w:val="nil"/>
              <w:right w:val="nil"/>
            </w:tcBorders>
            <w:vAlign w:val="center"/>
          </w:tcPr>
          <w:p w14:paraId="43F60C1E"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0.0042</w:t>
            </w:r>
          </w:p>
        </w:tc>
        <w:tc>
          <w:tcPr>
            <w:tcW w:w="994" w:type="dxa"/>
            <w:tcBorders>
              <w:top w:val="nil"/>
              <w:left w:val="nil"/>
              <w:bottom w:val="nil"/>
              <w:right w:val="nil"/>
            </w:tcBorders>
            <w:vAlign w:val="center"/>
          </w:tcPr>
          <w:p w14:paraId="513BB55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-3.33</w:t>
            </w:r>
          </w:p>
        </w:tc>
        <w:tc>
          <w:tcPr>
            <w:tcW w:w="872" w:type="dxa"/>
            <w:tcBorders>
              <w:top w:val="nil"/>
              <w:left w:val="nil"/>
              <w:bottom w:val="nil"/>
              <w:right w:val="nil"/>
            </w:tcBorders>
            <w:vAlign w:val="center"/>
          </w:tcPr>
          <w:p w14:paraId="7AA8874B"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c>
          <w:tcPr>
            <w:tcW w:w="945" w:type="dxa"/>
            <w:tcBorders>
              <w:top w:val="nil"/>
              <w:left w:val="nil"/>
              <w:bottom w:val="nil"/>
              <w:right w:val="nil"/>
            </w:tcBorders>
            <w:vAlign w:val="center"/>
          </w:tcPr>
          <w:p w14:paraId="2E5B4D6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-0.0184</w:t>
            </w:r>
          </w:p>
        </w:tc>
        <w:tc>
          <w:tcPr>
            <w:tcW w:w="872" w:type="dxa"/>
            <w:tcBorders>
              <w:top w:val="nil"/>
              <w:left w:val="nil"/>
              <w:bottom w:val="nil"/>
              <w:right w:val="nil"/>
            </w:tcBorders>
            <w:vAlign w:val="center"/>
          </w:tcPr>
          <w:p w14:paraId="7FB4ECFC"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0.0040</w:t>
            </w:r>
          </w:p>
        </w:tc>
        <w:tc>
          <w:tcPr>
            <w:tcW w:w="996" w:type="dxa"/>
            <w:tcBorders>
              <w:top w:val="nil"/>
              <w:left w:val="nil"/>
              <w:bottom w:val="nil"/>
              <w:right w:val="nil"/>
            </w:tcBorders>
            <w:vAlign w:val="center"/>
          </w:tcPr>
          <w:p w14:paraId="5AF482D2"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-4.62</w:t>
            </w:r>
          </w:p>
        </w:tc>
        <w:tc>
          <w:tcPr>
            <w:tcW w:w="872" w:type="dxa"/>
            <w:tcBorders>
              <w:top w:val="nil"/>
              <w:left w:val="nil"/>
              <w:bottom w:val="nil"/>
              <w:right w:val="nil"/>
            </w:tcBorders>
            <w:vAlign w:val="center"/>
          </w:tcPr>
          <w:p w14:paraId="714B951E"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r>
      <w:tr w:rsidR="00FF356B" w14:paraId="09FCC0F1" w14:textId="77777777">
        <w:trPr>
          <w:tblHeader/>
          <w:jc w:val="center"/>
        </w:trPr>
        <w:tc>
          <w:tcPr>
            <w:tcW w:w="2202" w:type="dxa"/>
            <w:tcBorders>
              <w:top w:val="nil"/>
              <w:left w:val="nil"/>
              <w:bottom w:val="nil"/>
              <w:right w:val="nil"/>
            </w:tcBorders>
            <w:vAlign w:val="center"/>
          </w:tcPr>
          <w:p w14:paraId="733A92D0"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Years of Suspension</w:t>
            </w:r>
          </w:p>
        </w:tc>
        <w:tc>
          <w:tcPr>
            <w:tcW w:w="945" w:type="dxa"/>
            <w:tcBorders>
              <w:top w:val="nil"/>
              <w:left w:val="nil"/>
              <w:bottom w:val="nil"/>
              <w:right w:val="nil"/>
            </w:tcBorders>
            <w:vAlign w:val="center"/>
          </w:tcPr>
          <w:p w14:paraId="291F186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-0.0226</w:t>
            </w:r>
          </w:p>
        </w:tc>
        <w:tc>
          <w:tcPr>
            <w:tcW w:w="872" w:type="dxa"/>
            <w:tcBorders>
              <w:top w:val="nil"/>
              <w:left w:val="nil"/>
              <w:bottom w:val="nil"/>
              <w:right w:val="nil"/>
            </w:tcBorders>
            <w:vAlign w:val="center"/>
          </w:tcPr>
          <w:p w14:paraId="28F7A4A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0.0007</w:t>
            </w:r>
          </w:p>
        </w:tc>
        <w:tc>
          <w:tcPr>
            <w:tcW w:w="994" w:type="dxa"/>
            <w:tcBorders>
              <w:top w:val="nil"/>
              <w:left w:val="nil"/>
              <w:bottom w:val="nil"/>
              <w:right w:val="nil"/>
            </w:tcBorders>
            <w:vAlign w:val="center"/>
          </w:tcPr>
          <w:p w14:paraId="3F74327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-31.97</w:t>
            </w:r>
          </w:p>
        </w:tc>
        <w:tc>
          <w:tcPr>
            <w:tcW w:w="872" w:type="dxa"/>
            <w:tcBorders>
              <w:top w:val="nil"/>
              <w:left w:val="nil"/>
              <w:bottom w:val="nil"/>
              <w:right w:val="nil"/>
            </w:tcBorders>
            <w:vAlign w:val="center"/>
          </w:tcPr>
          <w:p w14:paraId="67C202D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c>
          <w:tcPr>
            <w:tcW w:w="945" w:type="dxa"/>
            <w:tcBorders>
              <w:top w:val="nil"/>
              <w:left w:val="nil"/>
              <w:bottom w:val="nil"/>
              <w:right w:val="nil"/>
            </w:tcBorders>
            <w:vAlign w:val="center"/>
          </w:tcPr>
          <w:p w14:paraId="18F3974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-0.0202</w:t>
            </w:r>
          </w:p>
        </w:tc>
        <w:tc>
          <w:tcPr>
            <w:tcW w:w="872" w:type="dxa"/>
            <w:tcBorders>
              <w:top w:val="nil"/>
              <w:left w:val="nil"/>
              <w:bottom w:val="nil"/>
              <w:right w:val="nil"/>
            </w:tcBorders>
            <w:vAlign w:val="center"/>
          </w:tcPr>
          <w:p w14:paraId="53FF0F80"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0.0007</w:t>
            </w:r>
          </w:p>
        </w:tc>
        <w:tc>
          <w:tcPr>
            <w:tcW w:w="996" w:type="dxa"/>
            <w:tcBorders>
              <w:top w:val="nil"/>
              <w:left w:val="nil"/>
              <w:bottom w:val="nil"/>
              <w:right w:val="nil"/>
            </w:tcBorders>
            <w:vAlign w:val="center"/>
          </w:tcPr>
          <w:p w14:paraId="7B028EBE"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-30.38</w:t>
            </w:r>
          </w:p>
        </w:tc>
        <w:tc>
          <w:tcPr>
            <w:tcW w:w="872" w:type="dxa"/>
            <w:tcBorders>
              <w:top w:val="nil"/>
              <w:left w:val="nil"/>
              <w:bottom w:val="nil"/>
              <w:right w:val="nil"/>
            </w:tcBorders>
            <w:vAlign w:val="center"/>
          </w:tcPr>
          <w:p w14:paraId="2C2B08C9"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&lt;0.001</w:t>
            </w:r>
          </w:p>
        </w:tc>
      </w:tr>
      <w:tr w:rsidR="00FF356B" w14:paraId="00269CA3" w14:textId="77777777">
        <w:trPr>
          <w:tblHeader/>
          <w:jc w:val="center"/>
        </w:trPr>
        <w:tc>
          <w:tcPr>
            <w:tcW w:w="2202" w:type="dxa"/>
            <w:tcBorders>
              <w:top w:val="nil"/>
              <w:left w:val="nil"/>
              <w:bottom w:val="single" w:sz="12" w:space="0" w:color="auto"/>
              <w:right w:val="nil"/>
            </w:tcBorders>
            <w:vAlign w:val="center"/>
          </w:tcPr>
          <w:p w14:paraId="4082A0B0" w14:textId="77777777" w:rsidR="00FF356B" w:rsidRDefault="00093ABF">
            <w:pPr>
              <w:snapToGrid w:val="0"/>
              <w:spacing w:line="360" w:lineRule="auto"/>
              <w:rPr>
                <w:rFonts w:ascii="Times New Roman" w:hAnsi="Times New Roman" w:cs="Times New Roman"/>
                <w:szCs w:val="21"/>
              </w:rPr>
            </w:pPr>
            <w:r>
              <w:rPr>
                <w:rFonts w:ascii="Times New Roman" w:eastAsia="SimSun" w:hAnsi="Times New Roman" w:cs="Times New Roman"/>
                <w:szCs w:val="21"/>
              </w:rPr>
              <w:t>Grade (centered)</w:t>
            </w:r>
          </w:p>
        </w:tc>
        <w:tc>
          <w:tcPr>
            <w:tcW w:w="945" w:type="dxa"/>
            <w:tcBorders>
              <w:top w:val="nil"/>
              <w:left w:val="nil"/>
              <w:bottom w:val="single" w:sz="12" w:space="0" w:color="auto"/>
              <w:right w:val="nil"/>
            </w:tcBorders>
            <w:vAlign w:val="center"/>
          </w:tcPr>
          <w:p w14:paraId="6E5B502F"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-0.0284</w:t>
            </w:r>
          </w:p>
        </w:tc>
        <w:tc>
          <w:tcPr>
            <w:tcW w:w="872" w:type="dxa"/>
            <w:tcBorders>
              <w:top w:val="nil"/>
              <w:left w:val="nil"/>
              <w:bottom w:val="single" w:sz="12" w:space="0" w:color="auto"/>
              <w:right w:val="nil"/>
            </w:tcBorders>
            <w:vAlign w:val="center"/>
          </w:tcPr>
          <w:p w14:paraId="4020098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0.0334</w:t>
            </w:r>
          </w:p>
        </w:tc>
        <w:tc>
          <w:tcPr>
            <w:tcW w:w="994" w:type="dxa"/>
            <w:tcBorders>
              <w:top w:val="nil"/>
              <w:left w:val="nil"/>
              <w:bottom w:val="single" w:sz="12" w:space="0" w:color="auto"/>
              <w:right w:val="nil"/>
            </w:tcBorders>
            <w:vAlign w:val="center"/>
          </w:tcPr>
          <w:p w14:paraId="281A0344"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-0.85</w:t>
            </w:r>
          </w:p>
        </w:tc>
        <w:tc>
          <w:tcPr>
            <w:tcW w:w="872" w:type="dxa"/>
            <w:tcBorders>
              <w:top w:val="nil"/>
              <w:left w:val="nil"/>
              <w:bottom w:val="single" w:sz="12" w:space="0" w:color="auto"/>
              <w:right w:val="nil"/>
            </w:tcBorders>
            <w:vAlign w:val="center"/>
          </w:tcPr>
          <w:p w14:paraId="08FC1A47"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0.395</w:t>
            </w:r>
          </w:p>
        </w:tc>
        <w:tc>
          <w:tcPr>
            <w:tcW w:w="945" w:type="dxa"/>
            <w:tcBorders>
              <w:top w:val="nil"/>
              <w:left w:val="nil"/>
              <w:bottom w:val="single" w:sz="12" w:space="0" w:color="auto"/>
              <w:right w:val="nil"/>
            </w:tcBorders>
            <w:vAlign w:val="center"/>
          </w:tcPr>
          <w:p w14:paraId="4A88CFB6"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-0.0216</w:t>
            </w:r>
          </w:p>
        </w:tc>
        <w:tc>
          <w:tcPr>
            <w:tcW w:w="872" w:type="dxa"/>
            <w:tcBorders>
              <w:top w:val="nil"/>
              <w:left w:val="nil"/>
              <w:bottom w:val="single" w:sz="12" w:space="0" w:color="auto"/>
              <w:right w:val="nil"/>
            </w:tcBorders>
            <w:vAlign w:val="center"/>
          </w:tcPr>
          <w:p w14:paraId="7D95629D"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0.0330</w:t>
            </w:r>
          </w:p>
        </w:tc>
        <w:tc>
          <w:tcPr>
            <w:tcW w:w="996" w:type="dxa"/>
            <w:tcBorders>
              <w:top w:val="nil"/>
              <w:left w:val="nil"/>
              <w:bottom w:val="single" w:sz="12" w:space="0" w:color="auto"/>
              <w:right w:val="nil"/>
            </w:tcBorders>
            <w:vAlign w:val="center"/>
          </w:tcPr>
          <w:p w14:paraId="66F517A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-0.65</w:t>
            </w:r>
          </w:p>
        </w:tc>
        <w:tc>
          <w:tcPr>
            <w:tcW w:w="872" w:type="dxa"/>
            <w:tcBorders>
              <w:top w:val="nil"/>
              <w:left w:val="nil"/>
              <w:bottom w:val="single" w:sz="12" w:space="0" w:color="auto"/>
              <w:right w:val="nil"/>
            </w:tcBorders>
            <w:vAlign w:val="center"/>
          </w:tcPr>
          <w:p w14:paraId="63990375" w14:textId="77777777" w:rsidR="00FF356B" w:rsidRDefault="00093ABF">
            <w:pPr>
              <w:snapToGrid w:val="0"/>
              <w:spacing w:line="360" w:lineRule="auto"/>
              <w:rPr>
                <w:rFonts w:ascii="Times New Roman" w:hAnsi="Times New Roman" w:cs="Times New Roman"/>
                <w:szCs w:val="21"/>
              </w:rPr>
            </w:pPr>
            <w:r>
              <w:rPr>
                <w:rFonts w:ascii="Times New Roman" w:hAnsi="Times New Roman" w:cs="Times New Roman"/>
                <w:szCs w:val="21"/>
              </w:rPr>
              <w:t>0.513</w:t>
            </w:r>
          </w:p>
        </w:tc>
      </w:tr>
    </w:tbl>
    <w:p w14:paraId="6453D9BA" w14:textId="77777777" w:rsidR="00FF356B" w:rsidRDefault="00093ABF">
      <w:pPr>
        <w:pStyle w:val="NormalWeb"/>
        <w:widowControl/>
        <w:spacing w:line="360" w:lineRule="auto"/>
        <w:jc w:val="both"/>
        <w:rPr>
          <w:rFonts w:ascii="Times New Roman" w:hAnsi="Times New Roman"/>
          <w:sz w:val="20"/>
          <w:szCs w:val="20"/>
        </w:rPr>
      </w:pPr>
      <w:r>
        <w:rPr>
          <w:rStyle w:val="Strong"/>
          <w:rFonts w:ascii="Times New Roman" w:hAnsi="Times New Roman"/>
          <w:b w:val="0"/>
          <w:bCs w:val="0"/>
          <w:sz w:val="20"/>
          <w:szCs w:val="20"/>
        </w:rPr>
        <w:t xml:space="preserve">Sample </w:t>
      </w:r>
      <w:r>
        <w:rPr>
          <w:rStyle w:val="Strong"/>
          <w:rFonts w:ascii="Times New Roman" w:hAnsi="Times New Roman"/>
          <w:b w:val="0"/>
          <w:bCs w:val="0"/>
          <w:sz w:val="20"/>
          <w:szCs w:val="20"/>
        </w:rPr>
        <w:t>size:</w:t>
      </w:r>
      <w:r>
        <w:rPr>
          <w:rFonts w:ascii="Times New Roman" w:hAnsi="Times New Roman"/>
          <w:sz w:val="20"/>
          <w:szCs w:val="20"/>
        </w:rPr>
        <w:t xml:space="preserve"> Rule A, </w:t>
      </w:r>
      <w:r>
        <w:rPr>
          <w:rStyle w:val="Emphasis"/>
          <w:rFonts w:ascii="Times New Roman" w:hAnsi="Times New Roman"/>
          <w:sz w:val="20"/>
          <w:szCs w:val="20"/>
        </w:rPr>
        <w:t>n</w:t>
      </w:r>
      <w:r>
        <w:rPr>
          <w:rFonts w:ascii="Times New Roman" w:hAnsi="Times New Roman"/>
          <w:sz w:val="20"/>
          <w:szCs w:val="20"/>
        </w:rPr>
        <w:t xml:space="preserve">obs = 49,156, </w:t>
      </w:r>
      <w:proofErr w:type="spellStart"/>
      <w:r>
        <w:rPr>
          <w:rStyle w:val="Emphasis"/>
          <w:rFonts w:ascii="Times New Roman" w:hAnsi="Times New Roman"/>
          <w:sz w:val="20"/>
          <w:szCs w:val="20"/>
        </w:rPr>
        <w:t>n</w:t>
      </w:r>
      <w:r>
        <w:rPr>
          <w:rFonts w:ascii="Times New Roman" w:hAnsi="Times New Roman"/>
          <w:sz w:val="20"/>
          <w:szCs w:val="20"/>
        </w:rPr>
        <w:t>students</w:t>
      </w:r>
      <w:proofErr w:type="spellEnd"/>
      <w:r>
        <w:rPr>
          <w:rFonts w:ascii="Times New Roman" w:hAnsi="Times New Roman"/>
          <w:sz w:val="20"/>
          <w:szCs w:val="20"/>
        </w:rPr>
        <w:t xml:space="preserve"> = 14,920; Rule B, </w:t>
      </w:r>
      <w:r>
        <w:rPr>
          <w:rStyle w:val="Emphasis"/>
          <w:rFonts w:ascii="Times New Roman" w:hAnsi="Times New Roman"/>
          <w:sz w:val="20"/>
          <w:szCs w:val="20"/>
        </w:rPr>
        <w:t>n</w:t>
      </w:r>
      <w:r>
        <w:rPr>
          <w:rFonts w:ascii="Times New Roman" w:hAnsi="Times New Roman"/>
          <w:sz w:val="20"/>
          <w:szCs w:val="20"/>
        </w:rPr>
        <w:t xml:space="preserve">obs = 48,390, </w:t>
      </w:r>
      <w:proofErr w:type="spellStart"/>
      <w:r>
        <w:rPr>
          <w:rStyle w:val="Emphasis"/>
          <w:rFonts w:ascii="Times New Roman" w:hAnsi="Times New Roman"/>
          <w:sz w:val="20"/>
          <w:szCs w:val="20"/>
        </w:rPr>
        <w:t>n</w:t>
      </w:r>
      <w:r>
        <w:rPr>
          <w:rFonts w:ascii="Times New Roman" w:hAnsi="Times New Roman"/>
          <w:sz w:val="20"/>
          <w:szCs w:val="20"/>
        </w:rPr>
        <w:t>students</w:t>
      </w:r>
      <w:proofErr w:type="spellEnd"/>
      <w:r>
        <w:rPr>
          <w:rFonts w:ascii="Times New Roman" w:hAnsi="Times New Roman"/>
          <w:sz w:val="20"/>
          <w:szCs w:val="20"/>
        </w:rPr>
        <w:t xml:space="preserve"> = 14,779.</w:t>
      </w:r>
    </w:p>
    <w:p w14:paraId="7FD49D78" w14:textId="77777777" w:rsidR="00FF356B" w:rsidRDefault="00093ABF">
      <w:pPr>
        <w:pStyle w:val="NormalWeb"/>
        <w:widowControl/>
        <w:spacing w:line="360" w:lineRule="auto"/>
        <w:jc w:val="both"/>
        <w:rPr>
          <w:rFonts w:ascii="Times New Roman" w:hAnsi="Times New Roman"/>
          <w:sz w:val="20"/>
          <w:szCs w:val="20"/>
        </w:rPr>
      </w:pPr>
      <w:r>
        <w:rPr>
          <w:rStyle w:val="Strong"/>
          <w:rFonts w:ascii="Times New Roman" w:hAnsi="Times New Roman"/>
          <w:b w:val="0"/>
          <w:bCs w:val="0"/>
          <w:sz w:val="20"/>
          <w:szCs w:val="20"/>
        </w:rPr>
        <w:t>Note:</w:t>
      </w:r>
      <w:r>
        <w:rPr>
          <w:rFonts w:ascii="Times New Roman" w:hAnsi="Times New Roman"/>
          <w:sz w:val="20"/>
          <w:szCs w:val="20"/>
        </w:rPr>
        <w:t xml:space="preserve"> The 50 m sprint result was converted into a </w:t>
      </w:r>
      <w:r>
        <w:rPr>
          <w:rStyle w:val="Strong"/>
          <w:rFonts w:ascii="Times New Roman" w:hAnsi="Times New Roman"/>
          <w:b w:val="0"/>
          <w:bCs w:val="0"/>
          <w:sz w:val="20"/>
          <w:szCs w:val="20"/>
        </w:rPr>
        <w:t>speed indicator (m/s)</w:t>
      </w:r>
      <w:r>
        <w:rPr>
          <w:rFonts w:ascii="Times New Roman" w:hAnsi="Times New Roman"/>
          <w:sz w:val="20"/>
          <w:szCs w:val="20"/>
        </w:rPr>
        <w:t xml:space="preserve"> for analysis (</w:t>
      </w:r>
      <w:r>
        <w:rPr>
          <w:rStyle w:val="Strong"/>
          <w:rFonts w:ascii="Times New Roman" w:hAnsi="Times New Roman"/>
          <w:b w:val="0"/>
          <w:bCs w:val="0"/>
          <w:sz w:val="20"/>
          <w:szCs w:val="20"/>
        </w:rPr>
        <w:t>speed = 50 / time</w:t>
      </w:r>
      <w:r>
        <w:rPr>
          <w:rFonts w:ascii="Times New Roman" w:hAnsi="Times New Roman"/>
          <w:sz w:val="20"/>
          <w:szCs w:val="20"/>
        </w:rPr>
        <w:t xml:space="preserve">), with a higher speed indicating better sprint performance. </w:t>
      </w:r>
      <w:r>
        <w:rPr>
          <w:rStyle w:val="Strong"/>
          <w:rFonts w:ascii="Times New Roman" w:hAnsi="Times New Roman"/>
          <w:b w:val="0"/>
          <w:bCs w:val="0"/>
          <w:sz w:val="20"/>
          <w:szCs w:val="20"/>
        </w:rPr>
        <w:t>Generalized estimating equations (GEE)</w:t>
      </w:r>
      <w:r>
        <w:rPr>
          <w:rFonts w:ascii="Times New Roman" w:hAnsi="Times New Roman"/>
          <w:sz w:val="20"/>
          <w:szCs w:val="20"/>
        </w:rPr>
        <w:t xml:space="preserve"> were used, with students treated as the clustering unit and an </w:t>
      </w:r>
      <w:r>
        <w:rPr>
          <w:rStyle w:val="Strong"/>
          <w:rFonts w:ascii="Times New Roman" w:hAnsi="Times New Roman"/>
          <w:b w:val="0"/>
          <w:bCs w:val="0"/>
          <w:sz w:val="20"/>
          <w:szCs w:val="20"/>
        </w:rPr>
        <w:t>exchangeable</w:t>
      </w:r>
      <w:r>
        <w:rPr>
          <w:rFonts w:ascii="Times New Roman" w:hAnsi="Times New Roman"/>
          <w:sz w:val="20"/>
          <w:szCs w:val="20"/>
        </w:rPr>
        <w:t xml:space="preserve"> working correlation structure specified; </w:t>
      </w:r>
      <w:r>
        <w:rPr>
          <w:rStyle w:val="Strong"/>
          <w:rFonts w:ascii="Times New Roman" w:hAnsi="Times New Roman"/>
          <w:b w:val="0"/>
          <w:bCs w:val="0"/>
          <w:sz w:val="20"/>
          <w:szCs w:val="20"/>
        </w:rPr>
        <w:t>robust standard errors</w:t>
      </w:r>
      <w:r>
        <w:rPr>
          <w:rFonts w:ascii="Times New Roman" w:hAnsi="Times New Roman"/>
          <w:sz w:val="20"/>
          <w:szCs w:val="20"/>
        </w:rPr>
        <w:t xml:space="preserve"> are reported. </w:t>
      </w:r>
      <w:r>
        <w:rPr>
          <w:rStyle w:val="Strong"/>
          <w:rFonts w:ascii="Times New Roman" w:hAnsi="Times New Roman"/>
          <w:b w:val="0"/>
          <w:bCs w:val="0"/>
          <w:sz w:val="20"/>
          <w:szCs w:val="20"/>
        </w:rPr>
        <w:t>Ru</w:t>
      </w:r>
      <w:r>
        <w:rPr>
          <w:rStyle w:val="Strong"/>
          <w:rFonts w:ascii="Times New Roman" w:hAnsi="Times New Roman"/>
          <w:b w:val="0"/>
          <w:bCs w:val="0"/>
          <w:sz w:val="20"/>
          <w:szCs w:val="20"/>
        </w:rPr>
        <w:t>le A</w:t>
      </w:r>
      <w:r>
        <w:rPr>
          <w:rFonts w:ascii="Times New Roman" w:hAnsi="Times New Roman"/>
          <w:sz w:val="20"/>
          <w:szCs w:val="20"/>
        </w:rPr>
        <w:t xml:space="preserve"> refers to the analysis without extreme-value filtering, whereas </w:t>
      </w:r>
      <w:r>
        <w:rPr>
          <w:rStyle w:val="Strong"/>
          <w:rFonts w:ascii="Times New Roman" w:hAnsi="Times New Roman"/>
          <w:b w:val="0"/>
          <w:bCs w:val="0"/>
          <w:sz w:val="20"/>
          <w:szCs w:val="20"/>
        </w:rPr>
        <w:t>Rule B</w:t>
      </w:r>
      <w:r>
        <w:rPr>
          <w:rFonts w:ascii="Times New Roman" w:hAnsi="Times New Roman"/>
          <w:sz w:val="20"/>
          <w:szCs w:val="20"/>
        </w:rPr>
        <w:t xml:space="preserve"> refers to the robustness analysis after applying </w:t>
      </w:r>
      <w:r>
        <w:rPr>
          <w:rStyle w:val="Strong"/>
          <w:rFonts w:ascii="Times New Roman" w:hAnsi="Times New Roman"/>
          <w:b w:val="0"/>
          <w:bCs w:val="0"/>
          <w:sz w:val="20"/>
          <w:szCs w:val="20"/>
        </w:rPr>
        <w:t>1st–99th percentile filtering</w:t>
      </w:r>
      <w:r>
        <w:rPr>
          <w:rFonts w:ascii="Times New Roman" w:hAnsi="Times New Roman"/>
          <w:sz w:val="20"/>
          <w:szCs w:val="20"/>
        </w:rPr>
        <w:t xml:space="preserve"> to sprint speed.</w:t>
      </w:r>
    </w:p>
    <w:p w14:paraId="1AA9F836" w14:textId="77777777" w:rsidR="00FF356B" w:rsidRDefault="00FF356B">
      <w:pPr>
        <w:pStyle w:val="NormalWeb"/>
        <w:widowControl/>
        <w:spacing w:line="360" w:lineRule="auto"/>
        <w:jc w:val="both"/>
        <w:rPr>
          <w:rFonts w:ascii="Times New Roman" w:hAnsi="Times New Roman"/>
          <w:sz w:val="20"/>
          <w:szCs w:val="20"/>
        </w:rPr>
      </w:pPr>
    </w:p>
    <w:p w14:paraId="05A3ED96" w14:textId="77777777" w:rsidR="00FF356B" w:rsidRDefault="00FF356B">
      <w:pPr>
        <w:pStyle w:val="NormalWeb"/>
        <w:widowControl/>
        <w:spacing w:line="360" w:lineRule="auto"/>
        <w:jc w:val="both"/>
        <w:rPr>
          <w:rFonts w:ascii="Times New Roman" w:hAnsi="Times New Roman"/>
          <w:sz w:val="20"/>
          <w:szCs w:val="20"/>
        </w:rPr>
      </w:pPr>
    </w:p>
    <w:p w14:paraId="7CDE4F48" w14:textId="77777777" w:rsidR="00FF356B" w:rsidRDefault="00093ABF">
      <w:pPr>
        <w:pStyle w:val="Heading2"/>
        <w:keepNext w:val="0"/>
        <w:keepLines w:val="0"/>
        <w:widowControl/>
        <w:spacing w:line="360" w:lineRule="auto"/>
        <w:rPr>
          <w:rFonts w:ascii="Times New Roman" w:hAnsi="Times New Roman" w:cs="Times New Roman"/>
          <w:color w:val="auto"/>
          <w:sz w:val="21"/>
          <w:szCs w:val="21"/>
        </w:rPr>
      </w:pPr>
      <w:r>
        <w:rPr>
          <w:rFonts w:ascii="Times New Roman" w:hAnsi="Times New Roman" w:cs="Times New Roman"/>
          <w:color w:val="auto"/>
          <w:sz w:val="21"/>
          <w:szCs w:val="21"/>
        </w:rPr>
        <w:lastRenderedPageBreak/>
        <w:t>References</w:t>
      </w:r>
    </w:p>
    <w:p w14:paraId="77947B68"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 Central Committee of the Communist Party of China, State Council. </w:t>
      </w:r>
      <w:r>
        <w:rPr>
          <w:rStyle w:val="Emphasis"/>
          <w:rFonts w:ascii="Times New Roman" w:hAnsi="Times New Roman"/>
          <w:sz w:val="20"/>
          <w:szCs w:val="20"/>
        </w:rPr>
        <w:t>O</w:t>
      </w:r>
      <w:r>
        <w:rPr>
          <w:rStyle w:val="Emphasis"/>
          <w:rFonts w:ascii="Times New Roman" w:hAnsi="Times New Roman"/>
          <w:sz w:val="20"/>
          <w:szCs w:val="20"/>
        </w:rPr>
        <w:t>utline of the Plan for Building a Leading Country in Education (2024–</w:t>
      </w:r>
      <w:proofErr w:type="gramStart"/>
      <w:r>
        <w:rPr>
          <w:rStyle w:val="Emphasis"/>
          <w:rFonts w:ascii="Times New Roman" w:hAnsi="Times New Roman"/>
          <w:sz w:val="20"/>
          <w:szCs w:val="20"/>
        </w:rPr>
        <w:t>2035)</w:t>
      </w:r>
      <w:r>
        <w:rPr>
          <w:rFonts w:ascii="Times New Roman" w:hAnsi="Times New Roman"/>
          <w:sz w:val="20"/>
          <w:szCs w:val="20"/>
        </w:rPr>
        <w:t>[</w:t>
      </w:r>
      <w:proofErr w:type="gramEnd"/>
      <w:r>
        <w:rPr>
          <w:rFonts w:ascii="Times New Roman" w:hAnsi="Times New Roman"/>
          <w:sz w:val="20"/>
          <w:szCs w:val="20"/>
        </w:rPr>
        <w:t>S]. Beijing: People’s Publishing House, 2024.</w:t>
      </w:r>
    </w:p>
    <w:p w14:paraId="164F4789"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[2] Ministry of Education of the People’s Republic of China, et al. </w:t>
      </w:r>
      <w:r>
        <w:rPr>
          <w:rStyle w:val="Emphasis"/>
          <w:rFonts w:ascii="Times New Roman" w:hAnsi="Times New Roman"/>
          <w:sz w:val="20"/>
          <w:szCs w:val="20"/>
        </w:rPr>
        <w:t xml:space="preserve">Opinions of Five Ministries Including the Ministry of Education on </w:t>
      </w:r>
      <w:r>
        <w:rPr>
          <w:rStyle w:val="Emphasis"/>
          <w:rFonts w:ascii="Times New Roman" w:hAnsi="Times New Roman"/>
          <w:sz w:val="20"/>
          <w:szCs w:val="20"/>
        </w:rPr>
        <w:t>Implementing the Student Physical Fitness Enhancement Program</w:t>
      </w:r>
      <w:r>
        <w:rPr>
          <w:rFonts w:ascii="Times New Roman" w:hAnsi="Times New Roman"/>
          <w:sz w:val="20"/>
          <w:szCs w:val="20"/>
        </w:rPr>
        <w:t xml:space="preserve"> (</w:t>
      </w:r>
      <w:proofErr w:type="spellStart"/>
      <w:r>
        <w:rPr>
          <w:rFonts w:ascii="Times New Roman" w:hAnsi="Times New Roman"/>
          <w:sz w:val="20"/>
          <w:szCs w:val="20"/>
        </w:rPr>
        <w:t>Jiaotiyi</w:t>
      </w:r>
      <w:proofErr w:type="spellEnd"/>
      <w:r>
        <w:rPr>
          <w:rFonts w:ascii="Times New Roman" w:hAnsi="Times New Roman"/>
          <w:sz w:val="20"/>
          <w:szCs w:val="20"/>
        </w:rPr>
        <w:t xml:space="preserve"> [2025] No. </w:t>
      </w:r>
      <w:proofErr w:type="gramStart"/>
      <w:r>
        <w:rPr>
          <w:rFonts w:ascii="Times New Roman" w:hAnsi="Times New Roman"/>
          <w:sz w:val="20"/>
          <w:szCs w:val="20"/>
        </w:rPr>
        <w:t>1)[</w:t>
      </w:r>
      <w:proofErr w:type="gramEnd"/>
      <w:r>
        <w:rPr>
          <w:rFonts w:ascii="Times New Roman" w:hAnsi="Times New Roman"/>
          <w:sz w:val="20"/>
          <w:szCs w:val="20"/>
        </w:rPr>
        <w:t>R]. 2025.</w:t>
      </w:r>
    </w:p>
    <w:p w14:paraId="7A7804E5"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[3] Shao W D. Resolving the dilemmas of high-quality development in school physical education: An analysis based on “pain points–blockage points–difficulty </w:t>
      </w:r>
      <w:proofErr w:type="gramStart"/>
      <w:r>
        <w:rPr>
          <w:rFonts w:ascii="Times New Roman" w:hAnsi="Times New Roman"/>
          <w:sz w:val="20"/>
          <w:szCs w:val="20"/>
        </w:rPr>
        <w:t>poin</w:t>
      </w:r>
      <w:r>
        <w:rPr>
          <w:rFonts w:ascii="Times New Roman" w:hAnsi="Times New Roman"/>
          <w:sz w:val="20"/>
          <w:szCs w:val="20"/>
        </w:rPr>
        <w:t>ts”[</w:t>
      </w:r>
      <w:proofErr w:type="gramEnd"/>
      <w:r>
        <w:rPr>
          <w:rFonts w:ascii="Times New Roman" w:hAnsi="Times New Roman"/>
          <w:sz w:val="20"/>
          <w:szCs w:val="20"/>
        </w:rPr>
        <w:t xml:space="preserve">J]. </w:t>
      </w:r>
      <w:r>
        <w:rPr>
          <w:rStyle w:val="Emphasis"/>
          <w:rFonts w:ascii="Times New Roman" w:hAnsi="Times New Roman"/>
          <w:sz w:val="20"/>
          <w:szCs w:val="20"/>
        </w:rPr>
        <w:t>Journal of Physical Education</w:t>
      </w:r>
      <w:r>
        <w:rPr>
          <w:rFonts w:ascii="Times New Roman" w:hAnsi="Times New Roman"/>
          <w:sz w:val="20"/>
          <w:szCs w:val="20"/>
        </w:rPr>
        <w:t>, 2022, 29(6): 1-8.</w:t>
      </w:r>
    </w:p>
    <w:p w14:paraId="6960B2E2"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[4] Guo L, Jiang L, Huang H. A longitudinal study of four-year changes in physical fitness among university students before and after COVID-19 (2019–</w:t>
      </w:r>
      <w:proofErr w:type="gramStart"/>
      <w:r>
        <w:rPr>
          <w:rFonts w:ascii="Times New Roman" w:hAnsi="Times New Roman"/>
          <w:sz w:val="20"/>
          <w:szCs w:val="20"/>
        </w:rPr>
        <w:t>2022)[</w:t>
      </w:r>
      <w:proofErr w:type="gramEnd"/>
      <w:r>
        <w:rPr>
          <w:rFonts w:ascii="Times New Roman" w:hAnsi="Times New Roman"/>
          <w:sz w:val="20"/>
          <w:szCs w:val="20"/>
        </w:rPr>
        <w:t xml:space="preserve">J]. </w:t>
      </w:r>
      <w:proofErr w:type="spellStart"/>
      <w:r>
        <w:rPr>
          <w:rStyle w:val="Emphasis"/>
          <w:rFonts w:ascii="Times New Roman" w:hAnsi="Times New Roman"/>
          <w:sz w:val="20"/>
          <w:szCs w:val="20"/>
        </w:rPr>
        <w:t>PLoS</w:t>
      </w:r>
      <w:proofErr w:type="spellEnd"/>
      <w:r>
        <w:rPr>
          <w:rStyle w:val="Emphasis"/>
          <w:rFonts w:ascii="Times New Roman" w:hAnsi="Times New Roman"/>
          <w:sz w:val="20"/>
          <w:szCs w:val="20"/>
        </w:rPr>
        <w:t xml:space="preserve"> ONE</w:t>
      </w:r>
      <w:r>
        <w:rPr>
          <w:rFonts w:ascii="Times New Roman" w:hAnsi="Times New Roman"/>
          <w:sz w:val="20"/>
          <w:szCs w:val="20"/>
        </w:rPr>
        <w:t>, 2023, 18(6): e0286754.</w:t>
      </w:r>
    </w:p>
    <w:p w14:paraId="3DBB854F"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[5] Dong X, Huang F, </w:t>
      </w:r>
      <w:proofErr w:type="spellStart"/>
      <w:r>
        <w:rPr>
          <w:rFonts w:ascii="Times New Roman" w:hAnsi="Times New Roman"/>
          <w:sz w:val="20"/>
          <w:szCs w:val="20"/>
        </w:rPr>
        <w:t>Starratt</w:t>
      </w:r>
      <w:proofErr w:type="spellEnd"/>
      <w:r>
        <w:rPr>
          <w:rFonts w:ascii="Times New Roman" w:hAnsi="Times New Roman"/>
          <w:sz w:val="20"/>
          <w:szCs w:val="20"/>
        </w:rPr>
        <w:t xml:space="preserve"> G, et al. Trend in health-related physical fitness for Chinese male first-year college students: 2013–2019[J]. </w:t>
      </w:r>
      <w:r>
        <w:rPr>
          <w:rStyle w:val="Emphasis"/>
          <w:rFonts w:ascii="Times New Roman" w:hAnsi="Times New Roman"/>
          <w:sz w:val="20"/>
          <w:szCs w:val="20"/>
        </w:rPr>
        <w:t>Frontiers in Public Health</w:t>
      </w:r>
      <w:r>
        <w:rPr>
          <w:rFonts w:ascii="Times New Roman" w:hAnsi="Times New Roman"/>
          <w:sz w:val="20"/>
          <w:szCs w:val="20"/>
        </w:rPr>
        <w:t>, 2023, 11: 984511.</w:t>
      </w:r>
    </w:p>
    <w:p w14:paraId="5DF5EF2E"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[6] Liu X, Sun H, Zhu Z, et al. Association between physical activity</w:t>
      </w:r>
      <w:r>
        <w:rPr>
          <w:rFonts w:ascii="Times New Roman" w:hAnsi="Times New Roman"/>
          <w:sz w:val="20"/>
          <w:szCs w:val="20"/>
        </w:rPr>
        <w:t xml:space="preserve">, sedentary time, and physical fitness of female college students in China[J]. </w:t>
      </w:r>
      <w:r>
        <w:rPr>
          <w:rStyle w:val="Emphasis"/>
          <w:rFonts w:ascii="Times New Roman" w:hAnsi="Times New Roman"/>
          <w:sz w:val="20"/>
          <w:szCs w:val="20"/>
        </w:rPr>
        <w:t>International Journal of Environmental Research and Public Health</w:t>
      </w:r>
      <w:r>
        <w:rPr>
          <w:rFonts w:ascii="Times New Roman" w:hAnsi="Times New Roman"/>
          <w:sz w:val="20"/>
          <w:szCs w:val="20"/>
        </w:rPr>
        <w:t>, 2019, 16(18): 3407.</w:t>
      </w:r>
    </w:p>
    <w:p w14:paraId="3EE59C7D"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[7] Ministry of Education of the People’s Republic of China. </w:t>
      </w:r>
      <w:r>
        <w:rPr>
          <w:rStyle w:val="Emphasis"/>
          <w:rFonts w:ascii="Times New Roman" w:hAnsi="Times New Roman"/>
          <w:sz w:val="20"/>
          <w:szCs w:val="20"/>
        </w:rPr>
        <w:t>National Student Physical Hea</w:t>
      </w:r>
      <w:r>
        <w:rPr>
          <w:rStyle w:val="Emphasis"/>
          <w:rFonts w:ascii="Times New Roman" w:hAnsi="Times New Roman"/>
          <w:sz w:val="20"/>
          <w:szCs w:val="20"/>
        </w:rPr>
        <w:t xml:space="preserve">lth Standards (2014 </w:t>
      </w:r>
      <w:proofErr w:type="gramStart"/>
      <w:r>
        <w:rPr>
          <w:rStyle w:val="Emphasis"/>
          <w:rFonts w:ascii="Times New Roman" w:hAnsi="Times New Roman"/>
          <w:sz w:val="20"/>
          <w:szCs w:val="20"/>
        </w:rPr>
        <w:t>Revision)</w:t>
      </w:r>
      <w:r>
        <w:rPr>
          <w:rFonts w:ascii="Times New Roman" w:hAnsi="Times New Roman"/>
          <w:sz w:val="20"/>
          <w:szCs w:val="20"/>
        </w:rPr>
        <w:t>[</w:t>
      </w:r>
      <w:proofErr w:type="gramEnd"/>
      <w:r>
        <w:rPr>
          <w:rFonts w:ascii="Times New Roman" w:hAnsi="Times New Roman"/>
          <w:sz w:val="20"/>
          <w:szCs w:val="20"/>
        </w:rPr>
        <w:t>S]. Beijing: People’s Education Press, 2014.</w:t>
      </w:r>
    </w:p>
    <w:p w14:paraId="09B14D04"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[8] Hopkins W G, Marshall S W, </w:t>
      </w:r>
      <w:proofErr w:type="spellStart"/>
      <w:r>
        <w:rPr>
          <w:rFonts w:ascii="Times New Roman" w:hAnsi="Times New Roman"/>
          <w:sz w:val="20"/>
          <w:szCs w:val="20"/>
        </w:rPr>
        <w:t>Batterham</w:t>
      </w:r>
      <w:proofErr w:type="spellEnd"/>
      <w:r>
        <w:rPr>
          <w:rFonts w:ascii="Times New Roman" w:hAnsi="Times New Roman"/>
          <w:sz w:val="20"/>
          <w:szCs w:val="20"/>
        </w:rPr>
        <w:t xml:space="preserve"> A M, et al. Progressive statistics for studies in sports medicine and exercise science[J]. </w:t>
      </w:r>
      <w:r>
        <w:rPr>
          <w:rStyle w:val="Emphasis"/>
          <w:rFonts w:ascii="Times New Roman" w:hAnsi="Times New Roman"/>
          <w:sz w:val="20"/>
          <w:szCs w:val="20"/>
        </w:rPr>
        <w:t>Medicine &amp; Science in Sports &amp; Exercise</w:t>
      </w:r>
      <w:r>
        <w:rPr>
          <w:rFonts w:ascii="Times New Roman" w:hAnsi="Times New Roman"/>
          <w:sz w:val="20"/>
          <w:szCs w:val="20"/>
        </w:rPr>
        <w:t>, 2009, 41(1): 3-13.</w:t>
      </w:r>
    </w:p>
    <w:p w14:paraId="71E4519D"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[9] </w:t>
      </w:r>
      <w:proofErr w:type="spellStart"/>
      <w:r>
        <w:rPr>
          <w:rFonts w:ascii="Times New Roman" w:hAnsi="Times New Roman"/>
          <w:sz w:val="20"/>
          <w:szCs w:val="20"/>
        </w:rPr>
        <w:t>Twisk</w:t>
      </w:r>
      <w:proofErr w:type="spellEnd"/>
      <w:r>
        <w:rPr>
          <w:rFonts w:ascii="Times New Roman" w:hAnsi="Times New Roman"/>
          <w:sz w:val="20"/>
          <w:szCs w:val="20"/>
        </w:rPr>
        <w:t xml:space="preserve"> J W R. </w:t>
      </w:r>
      <w:r>
        <w:rPr>
          <w:rStyle w:val="Emphasis"/>
          <w:rFonts w:ascii="Times New Roman" w:hAnsi="Times New Roman"/>
          <w:sz w:val="20"/>
          <w:szCs w:val="20"/>
        </w:rPr>
        <w:t>Applied Longitudinal Data Analysis for Epidemio</w:t>
      </w:r>
      <w:r>
        <w:rPr>
          <w:rStyle w:val="Emphasis"/>
          <w:rFonts w:ascii="Times New Roman" w:hAnsi="Times New Roman"/>
          <w:sz w:val="20"/>
          <w:szCs w:val="20"/>
        </w:rPr>
        <w:t>logy</w:t>
      </w:r>
      <w:r>
        <w:rPr>
          <w:rFonts w:ascii="Times New Roman" w:hAnsi="Times New Roman"/>
          <w:sz w:val="20"/>
          <w:szCs w:val="20"/>
        </w:rPr>
        <w:t>[M]. Cambridge: Cambridge University Press, 2013.</w:t>
      </w:r>
    </w:p>
    <w:p w14:paraId="5F1BF8F5"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[10] Diggle P J, </w:t>
      </w:r>
      <w:proofErr w:type="spellStart"/>
      <w:r>
        <w:rPr>
          <w:rFonts w:ascii="Times New Roman" w:hAnsi="Times New Roman"/>
          <w:sz w:val="20"/>
          <w:szCs w:val="20"/>
        </w:rPr>
        <w:t>Heagerty</w:t>
      </w:r>
      <w:proofErr w:type="spellEnd"/>
      <w:r>
        <w:rPr>
          <w:rFonts w:ascii="Times New Roman" w:hAnsi="Times New Roman"/>
          <w:sz w:val="20"/>
          <w:szCs w:val="20"/>
        </w:rPr>
        <w:t xml:space="preserve"> P, Liang K Y, et al. </w:t>
      </w:r>
      <w:r>
        <w:rPr>
          <w:rStyle w:val="Emphasis"/>
          <w:rFonts w:ascii="Times New Roman" w:hAnsi="Times New Roman"/>
          <w:sz w:val="20"/>
          <w:szCs w:val="20"/>
        </w:rPr>
        <w:t>Analysis of Longitudinal Data</w:t>
      </w:r>
      <w:r>
        <w:rPr>
          <w:rFonts w:ascii="Times New Roman" w:hAnsi="Times New Roman"/>
          <w:sz w:val="20"/>
          <w:szCs w:val="20"/>
        </w:rPr>
        <w:t>[M]. 2nd ed. Oxford: Oxford University Press, 2013.</w:t>
      </w:r>
    </w:p>
    <w:p w14:paraId="4F2AB1D5"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[11] </w:t>
      </w:r>
      <w:proofErr w:type="spellStart"/>
      <w:r>
        <w:rPr>
          <w:rFonts w:ascii="Times New Roman" w:hAnsi="Times New Roman"/>
          <w:sz w:val="20"/>
          <w:szCs w:val="20"/>
        </w:rPr>
        <w:t>Zeger</w:t>
      </w:r>
      <w:proofErr w:type="spellEnd"/>
      <w:r>
        <w:rPr>
          <w:rFonts w:ascii="Times New Roman" w:hAnsi="Times New Roman"/>
          <w:sz w:val="20"/>
          <w:szCs w:val="20"/>
        </w:rPr>
        <w:t xml:space="preserve"> S L, Liang K Y. Longitudinal data analysis for discrete and con</w:t>
      </w:r>
      <w:r>
        <w:rPr>
          <w:rFonts w:ascii="Times New Roman" w:hAnsi="Times New Roman"/>
          <w:sz w:val="20"/>
          <w:szCs w:val="20"/>
        </w:rPr>
        <w:t xml:space="preserve">tinuous outcomes[J]. </w:t>
      </w:r>
      <w:r>
        <w:rPr>
          <w:rStyle w:val="Emphasis"/>
          <w:rFonts w:ascii="Times New Roman" w:hAnsi="Times New Roman"/>
          <w:sz w:val="20"/>
          <w:szCs w:val="20"/>
        </w:rPr>
        <w:t>Biometrics</w:t>
      </w:r>
      <w:r>
        <w:rPr>
          <w:rFonts w:ascii="Times New Roman" w:hAnsi="Times New Roman"/>
          <w:sz w:val="20"/>
          <w:szCs w:val="20"/>
        </w:rPr>
        <w:t>, 1986, 42(1): 121-130.</w:t>
      </w:r>
    </w:p>
    <w:p w14:paraId="33F5289F"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[12] Zhang Y, Chen P, Wang R, et al. Relationship between body composition and upper limb physical fitness among Chinese students: A 4-year longitudinal follow-up study[J]. </w:t>
      </w:r>
      <w:r>
        <w:rPr>
          <w:rStyle w:val="Emphasis"/>
          <w:rFonts w:ascii="Times New Roman" w:hAnsi="Times New Roman"/>
          <w:sz w:val="20"/>
          <w:szCs w:val="20"/>
        </w:rPr>
        <w:t>BMC Sports Science, Medicine</w:t>
      </w:r>
      <w:r>
        <w:rPr>
          <w:rStyle w:val="Emphasis"/>
          <w:rFonts w:ascii="Times New Roman" w:hAnsi="Times New Roman"/>
          <w:sz w:val="20"/>
          <w:szCs w:val="20"/>
        </w:rPr>
        <w:t xml:space="preserve"> and Rehabilitation</w:t>
      </w:r>
      <w:r>
        <w:rPr>
          <w:rFonts w:ascii="Times New Roman" w:hAnsi="Times New Roman"/>
          <w:sz w:val="20"/>
          <w:szCs w:val="20"/>
        </w:rPr>
        <w:t>, 2020, 12: 45.</w:t>
      </w:r>
    </w:p>
    <w:p w14:paraId="5F243958"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[13] Wang J, Chen A, Li M, et al. Exploring the level of physical fitness, physical activity and physical literacy among Chinese university students: A cross-sectional study[J]. </w:t>
      </w:r>
      <w:r>
        <w:rPr>
          <w:rStyle w:val="Emphasis"/>
          <w:rFonts w:ascii="Times New Roman" w:hAnsi="Times New Roman"/>
          <w:sz w:val="20"/>
          <w:szCs w:val="20"/>
        </w:rPr>
        <w:t>BMC Public Health</w:t>
      </w:r>
      <w:r>
        <w:rPr>
          <w:rFonts w:ascii="Times New Roman" w:hAnsi="Times New Roman"/>
          <w:sz w:val="20"/>
          <w:szCs w:val="20"/>
        </w:rPr>
        <w:t>, 2022, 22: 1765.</w:t>
      </w:r>
    </w:p>
    <w:p w14:paraId="0BB8E028"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lastRenderedPageBreak/>
        <w:t>[14] Tao</w:t>
      </w:r>
      <w:r>
        <w:rPr>
          <w:rFonts w:ascii="Times New Roman" w:hAnsi="Times New Roman"/>
          <w:sz w:val="20"/>
          <w:szCs w:val="20"/>
        </w:rPr>
        <w:t xml:space="preserve"> Z, Zhu E, Sun X, et al. Comparative effects of three different physical education teaching modes on college students’ physical fitness during the COVID-19 pandemic: A longitudinal study[J]. </w:t>
      </w:r>
      <w:proofErr w:type="spellStart"/>
      <w:r>
        <w:rPr>
          <w:rStyle w:val="Emphasis"/>
          <w:rFonts w:ascii="Times New Roman" w:hAnsi="Times New Roman"/>
          <w:sz w:val="20"/>
          <w:szCs w:val="20"/>
        </w:rPr>
        <w:t>Heliyon</w:t>
      </w:r>
      <w:proofErr w:type="spellEnd"/>
      <w:r>
        <w:rPr>
          <w:rFonts w:ascii="Times New Roman" w:hAnsi="Times New Roman"/>
          <w:sz w:val="20"/>
          <w:szCs w:val="20"/>
        </w:rPr>
        <w:t>, 2024, 10(3): e25789.</w:t>
      </w:r>
    </w:p>
    <w:p w14:paraId="4E7C0352"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[15] Zhang Y, Sun X, Li M, et al. G</w:t>
      </w:r>
      <w:r>
        <w:rPr>
          <w:rFonts w:ascii="Times New Roman" w:hAnsi="Times New Roman"/>
          <w:sz w:val="20"/>
          <w:szCs w:val="20"/>
        </w:rPr>
        <w:t xml:space="preserve">ender difference in the relationship between physical activity and subjective happiness among Chinese university students[J]. </w:t>
      </w:r>
      <w:r>
        <w:rPr>
          <w:rStyle w:val="Emphasis"/>
          <w:rFonts w:ascii="Times New Roman" w:hAnsi="Times New Roman"/>
          <w:sz w:val="20"/>
          <w:szCs w:val="20"/>
        </w:rPr>
        <w:t>Frontiers in Psychology</w:t>
      </w:r>
      <w:r>
        <w:rPr>
          <w:rFonts w:ascii="Times New Roman" w:hAnsi="Times New Roman"/>
          <w:sz w:val="20"/>
          <w:szCs w:val="20"/>
        </w:rPr>
        <w:t>, 2021, 12: 687748.</w:t>
      </w:r>
    </w:p>
    <w:p w14:paraId="069841C0"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[16] Li Y, Zhang T, Wang L, et al. Physical fitness status and influencing factors amon</w:t>
      </w:r>
      <w:r>
        <w:rPr>
          <w:rFonts w:ascii="Times New Roman" w:hAnsi="Times New Roman"/>
          <w:sz w:val="20"/>
          <w:szCs w:val="20"/>
        </w:rPr>
        <w:t xml:space="preserve">g college students aged 19–22 in Shandong Province, China[J]. </w:t>
      </w:r>
      <w:r>
        <w:rPr>
          <w:rStyle w:val="Emphasis"/>
          <w:rFonts w:ascii="Times New Roman" w:hAnsi="Times New Roman"/>
          <w:sz w:val="20"/>
          <w:szCs w:val="20"/>
        </w:rPr>
        <w:t>BMC Public Health</w:t>
      </w:r>
      <w:r>
        <w:rPr>
          <w:rFonts w:ascii="Times New Roman" w:hAnsi="Times New Roman"/>
          <w:sz w:val="20"/>
          <w:szCs w:val="20"/>
        </w:rPr>
        <w:t>, 2021, 21: 2146.</w:t>
      </w:r>
    </w:p>
    <w:p w14:paraId="1A1F17E0"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[17] Liu H, Zhao Y, Chen S, et al. The bidirectional dynamic relationship between physical exercise and interpersonal competence in college students: A four-wa</w:t>
      </w:r>
      <w:r>
        <w:rPr>
          <w:rFonts w:ascii="Times New Roman" w:hAnsi="Times New Roman"/>
          <w:sz w:val="20"/>
          <w:szCs w:val="20"/>
        </w:rPr>
        <w:t xml:space="preserve">ve longitudinal study[J]. </w:t>
      </w:r>
      <w:r>
        <w:rPr>
          <w:rStyle w:val="Emphasis"/>
          <w:rFonts w:ascii="Times New Roman" w:hAnsi="Times New Roman"/>
          <w:sz w:val="20"/>
          <w:szCs w:val="20"/>
        </w:rPr>
        <w:t>Frontiers in Psychology</w:t>
      </w:r>
      <w:r>
        <w:rPr>
          <w:rFonts w:ascii="Times New Roman" w:hAnsi="Times New Roman"/>
          <w:sz w:val="20"/>
          <w:szCs w:val="20"/>
        </w:rPr>
        <w:t>, 2022, 13: 946732.</w:t>
      </w:r>
    </w:p>
    <w:p w14:paraId="35E3BDE6"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[18] Sun J, Lin C, Wang L, et al. Secular trends in physical fitness and cardiovascular risks among Chinese college students: An analysis of five successive national surveys between 2000 </w:t>
      </w:r>
      <w:r>
        <w:rPr>
          <w:rFonts w:ascii="Times New Roman" w:hAnsi="Times New Roman"/>
          <w:sz w:val="20"/>
          <w:szCs w:val="20"/>
        </w:rPr>
        <w:t xml:space="preserve">and 2019[J]. </w:t>
      </w:r>
      <w:r>
        <w:rPr>
          <w:rStyle w:val="Emphasis"/>
          <w:rFonts w:ascii="Times New Roman" w:hAnsi="Times New Roman"/>
          <w:sz w:val="20"/>
          <w:szCs w:val="20"/>
        </w:rPr>
        <w:t>BMC Public Health</w:t>
      </w:r>
      <w:r>
        <w:rPr>
          <w:rFonts w:ascii="Times New Roman" w:hAnsi="Times New Roman"/>
          <w:sz w:val="20"/>
          <w:szCs w:val="20"/>
        </w:rPr>
        <w:t>, 2022, 22: 1203.</w:t>
      </w:r>
    </w:p>
    <w:p w14:paraId="7CF8EC01"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[19] Sun J, Liang H, Wang L, et al. Secular trends of physical fitness for college students in Anhui Province over the past decade[J]. </w:t>
      </w:r>
      <w:r>
        <w:rPr>
          <w:rStyle w:val="Emphasis"/>
          <w:rFonts w:ascii="Times New Roman" w:hAnsi="Times New Roman"/>
          <w:sz w:val="20"/>
          <w:szCs w:val="20"/>
        </w:rPr>
        <w:t>BMC Public Health</w:t>
      </w:r>
      <w:r>
        <w:rPr>
          <w:rFonts w:ascii="Times New Roman" w:hAnsi="Times New Roman"/>
          <w:sz w:val="20"/>
          <w:szCs w:val="20"/>
        </w:rPr>
        <w:t>, 2025, 25(1): 357.</w:t>
      </w:r>
    </w:p>
    <w:p w14:paraId="7482DF31" w14:textId="77777777" w:rsidR="00FF356B" w:rsidRDefault="00093ABF">
      <w:pPr>
        <w:pStyle w:val="NormalWeb"/>
        <w:widowControl/>
        <w:jc w:val="both"/>
        <w:rPr>
          <w:rFonts w:ascii="Times New Roman" w:hAnsi="Times New Roman"/>
          <w:sz w:val="20"/>
          <w:szCs w:val="20"/>
        </w:rPr>
      </w:pPr>
      <w:r>
        <w:rPr>
          <w:rFonts w:ascii="Times New Roman" w:hAnsi="Times New Roman"/>
          <w:sz w:val="20"/>
          <w:szCs w:val="20"/>
        </w:rPr>
        <w:t xml:space="preserve">[20] Yang Y, Zhang Y, Liu S, et al. </w:t>
      </w:r>
      <w:r>
        <w:rPr>
          <w:rFonts w:ascii="Times New Roman" w:hAnsi="Times New Roman"/>
          <w:sz w:val="20"/>
          <w:szCs w:val="20"/>
        </w:rPr>
        <w:t xml:space="preserve">Longitudinal changes in Chinese minority college students’ health-related fitness: A multilevel latent growth curve modeling approach[J]. </w:t>
      </w:r>
      <w:r>
        <w:rPr>
          <w:rStyle w:val="Emphasis"/>
          <w:rFonts w:ascii="Times New Roman" w:hAnsi="Times New Roman"/>
          <w:sz w:val="20"/>
          <w:szCs w:val="20"/>
        </w:rPr>
        <w:t>International Journal of Environmental Research and Public Health</w:t>
      </w:r>
      <w:r>
        <w:rPr>
          <w:rFonts w:ascii="Times New Roman" w:hAnsi="Times New Roman"/>
          <w:sz w:val="20"/>
          <w:szCs w:val="20"/>
        </w:rPr>
        <w:t>, 2021, 18(15): 8032.</w:t>
      </w:r>
    </w:p>
    <w:p w14:paraId="5BB94C51" w14:textId="77777777" w:rsidR="00FF356B" w:rsidRDefault="00FF356B">
      <w:pPr>
        <w:spacing w:line="360" w:lineRule="auto"/>
        <w:rPr>
          <w:rFonts w:ascii="Times New Roman" w:eastAsia="SimSun" w:hAnsi="Times New Roman" w:cs="Times New Roman"/>
          <w:szCs w:val="21"/>
        </w:rPr>
      </w:pPr>
    </w:p>
    <w:sectPr w:rsidR="00FF356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D467162"/>
    <w:rsid w:val="00093ABF"/>
    <w:rsid w:val="00FF356B"/>
    <w:rsid w:val="147201E8"/>
    <w:rsid w:val="5D467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E8074"/>
  <w15:docId w15:val="{A45D6576-EC7F-481E-AB33-F8EC540D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paragraph" w:styleId="Heading2">
    <w:name w:val="heading 2"/>
    <w:basedOn w:val="Normal"/>
    <w:next w:val="Normal"/>
    <w:uiPriority w:val="9"/>
    <w:unhideWhenUsed/>
    <w:qFormat/>
    <w:pPr>
      <w:keepNext/>
      <w:keepLines/>
      <w:spacing w:before="200"/>
      <w:outlineLvl w:val="1"/>
    </w:pPr>
    <w:rPr>
      <w:rFonts w:asciiTheme="majorHAnsi" w:eastAsiaTheme="majorEastAsia" w:hAnsiTheme="majorHAnsi" w:cstheme="majorBidi"/>
      <w:b/>
      <w:bCs/>
      <w:color w:val="4874CB" w:themeColor="accent1"/>
      <w:sz w:val="26"/>
      <w:szCs w:val="2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Autospacing="1" w:afterAutospacing="1"/>
      <w:jc w:val="left"/>
    </w:pPr>
    <w:rPr>
      <w:rFonts w:cs="Times New Roman"/>
      <w:kern w:val="0"/>
      <w:sz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4503</Words>
  <Characters>25672</Characters>
  <Application>Microsoft Office Word</Application>
  <DocSecurity>0</DocSecurity>
  <Lines>213</Lines>
  <Paragraphs>60</Paragraphs>
  <ScaleCrop>false</ScaleCrop>
  <Company/>
  <LinksUpToDate>false</LinksUpToDate>
  <CharactersWithSpaces>30115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cp:lastModifiedBy>
  <cp:revision>2</cp:revision>
  <dcterms:created xsi:type="dcterms:W3CDTF">2026-03-27T07:19:00Z</dcterms:created>
  <dcterms:modified xsi:type="dcterms:W3CDTF">2026-03-27T07:19:00Z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4DD61224AF2F423AB19525175AED18CC_11</vt:lpwstr>
  </property>
  <property fmtid="{D5CDD505-2E9C-101B-9397-08002B2CF9AE}" pid="4" name="KSOTemplateDocerSaveRecord">
    <vt:lpwstr>eyJoZGlkIjoiZTQxZjNjODMzZGRhOWU5YmJlM2VhYTNiMTYzYTQ0NmQiLCJ1c2VySWQiOiIxOTA3NTk1MDkifQ==</vt:lpwstr>
  </property>
</Properties>
</file>